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D747A">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outlineLvl w:val="9"/>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rPr>
        <w:t>关于</w:t>
      </w:r>
      <w:r>
        <w:rPr>
          <w:rFonts w:hint="eastAsia" w:ascii="方正小标宋简体" w:hAnsi="方正小标宋简体" w:eastAsia="方正小标宋简体" w:cs="方正小标宋简体"/>
          <w:b w:val="0"/>
          <w:bCs w:val="0"/>
          <w:sz w:val="32"/>
          <w:szCs w:val="32"/>
          <w:lang w:val="en-US" w:eastAsia="zh-CN"/>
        </w:rPr>
        <w:t>南京市江宁妇幼保健院（鼓楼医院江宁院区）</w:t>
      </w:r>
    </w:p>
    <w:p w14:paraId="71B63EFA">
      <w:pPr>
        <w:keepNext w:val="0"/>
        <w:keepLines w:val="0"/>
        <w:pageBreakBefore w:val="0"/>
        <w:widowControl w:val="0"/>
        <w:kinsoku/>
        <w:wordWrap/>
        <w:overflowPunct/>
        <w:topLinePunct w:val="0"/>
        <w:autoSpaceDE/>
        <w:autoSpaceDN/>
        <w:bidi w:val="0"/>
        <w:adjustRightInd/>
        <w:snapToGrid/>
        <w:spacing w:before="156" w:beforeLines="50" w:after="156" w:afterLines="50" w:line="560" w:lineRule="exact"/>
        <w:jc w:val="center"/>
        <w:textAlignment w:val="auto"/>
        <w:outlineLvl w:val="9"/>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医用电子生理参数检测仪器、病房护理等设备（第二次）的论证公告</w:t>
      </w:r>
    </w:p>
    <w:p w14:paraId="49E15EF4">
      <w:pPr>
        <w:pStyle w:val="2"/>
        <w:rPr>
          <w:sz w:val="20"/>
          <w:szCs w:val="22"/>
        </w:rPr>
      </w:pPr>
    </w:p>
    <w:p w14:paraId="3F4576DA">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sz w:val="24"/>
          <w:szCs w:val="24"/>
        </w:rPr>
        <w:t>一、采购人</w:t>
      </w:r>
    </w:p>
    <w:p w14:paraId="2BEEF70D">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color w:val="auto"/>
          <w:sz w:val="24"/>
          <w:szCs w:val="24"/>
          <w:lang w:val="en-US" w:eastAsia="zh-CN"/>
        </w:rPr>
      </w:pPr>
      <w:r>
        <w:rPr>
          <w:rFonts w:hint="eastAsia" w:ascii="方正仿宋简体" w:hAnsi="方正仿宋简体" w:eastAsia="方正仿宋简体" w:cs="方正仿宋简体"/>
          <w:color w:val="auto"/>
          <w:sz w:val="24"/>
          <w:szCs w:val="24"/>
          <w:lang w:val="en-US" w:eastAsia="zh-CN"/>
        </w:rPr>
        <w:t>南京市江宁妇幼保健院</w:t>
      </w:r>
    </w:p>
    <w:p w14:paraId="26070594">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sz w:val="24"/>
          <w:szCs w:val="24"/>
        </w:rPr>
        <w:t>二、地址</w:t>
      </w:r>
    </w:p>
    <w:p w14:paraId="75CCB9F8">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color w:val="auto"/>
          <w:sz w:val="24"/>
          <w:szCs w:val="24"/>
          <w:lang w:val="en-US" w:eastAsia="zh-CN"/>
        </w:rPr>
      </w:pPr>
      <w:r>
        <w:rPr>
          <w:rFonts w:hint="eastAsia" w:ascii="方正仿宋简体" w:hAnsi="方正仿宋简体" w:eastAsia="方正仿宋简体" w:cs="方正仿宋简体"/>
          <w:color w:val="auto"/>
          <w:sz w:val="24"/>
          <w:szCs w:val="24"/>
          <w:lang w:val="en-US" w:eastAsia="zh-CN"/>
        </w:rPr>
        <w:t>南京市江宁区疾病预防控制中心(江宁区天印大道671号)二楼小会议室</w:t>
      </w:r>
    </w:p>
    <w:p w14:paraId="030DB919">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b/>
          <w:bCs/>
          <w:sz w:val="24"/>
          <w:szCs w:val="24"/>
        </w:rPr>
        <w:t>三、★要求</w:t>
      </w:r>
    </w:p>
    <w:p w14:paraId="3955921E">
      <w:pPr>
        <w:keepNext w:val="0"/>
        <w:keepLines w:val="0"/>
        <w:pageBreakBefore w:val="0"/>
        <w:widowControl w:val="0"/>
        <w:kinsoku/>
        <w:wordWrap/>
        <w:overflowPunct/>
        <w:topLinePunct w:val="0"/>
        <w:autoSpaceDE/>
        <w:autoSpaceDN/>
        <w:bidi w:val="0"/>
        <w:adjustRightInd w:val="0"/>
        <w:snapToGrid/>
        <w:spacing w:before="160" w:after="160" w:line="440" w:lineRule="exact"/>
        <w:ind w:firstLine="480" w:firstLineChars="200"/>
        <w:contextualSpacing/>
        <w:textAlignment w:val="auto"/>
        <w:outlineLvl w:val="9"/>
        <w:rPr>
          <w:rFonts w:hint="eastAsia" w:ascii="方正仿宋简体" w:hAnsi="方正仿宋简体" w:eastAsia="方正仿宋简体" w:cs="方正仿宋简体"/>
          <w:b w:val="0"/>
          <w:bCs/>
          <w:color w:val="auto"/>
          <w:sz w:val="24"/>
          <w:szCs w:val="24"/>
        </w:rPr>
      </w:pPr>
      <w:r>
        <w:rPr>
          <w:rFonts w:hint="eastAsia" w:ascii="方正仿宋简体" w:hAnsi="方正仿宋简体" w:eastAsia="方正仿宋简体" w:cs="方正仿宋简体"/>
          <w:sz w:val="24"/>
          <w:szCs w:val="24"/>
        </w:rPr>
        <w:t>欢迎生产企业、经营企业以及潜在供应商前来</w:t>
      </w:r>
      <w:r>
        <w:rPr>
          <w:rFonts w:hint="eastAsia" w:ascii="方正仿宋简体" w:hAnsi="方正仿宋简体" w:eastAsia="方正仿宋简体" w:cs="方正仿宋简体"/>
          <w:sz w:val="24"/>
          <w:szCs w:val="24"/>
          <w:lang w:eastAsia="zh-CN"/>
        </w:rPr>
        <w:t>参加论证</w:t>
      </w:r>
      <w:r>
        <w:rPr>
          <w:rFonts w:hint="eastAsia" w:ascii="方正仿宋简体" w:hAnsi="方正仿宋简体" w:eastAsia="方正仿宋简体" w:cs="方正仿宋简体"/>
          <w:sz w:val="24"/>
          <w:szCs w:val="24"/>
        </w:rPr>
        <w:t>，同时提交产品资料。有意向</w:t>
      </w:r>
      <w:r>
        <w:rPr>
          <w:rFonts w:hint="eastAsia" w:ascii="方正仿宋简体" w:hAnsi="方正仿宋简体" w:eastAsia="方正仿宋简体" w:cs="方正仿宋简体"/>
          <w:sz w:val="24"/>
          <w:szCs w:val="24"/>
          <w:lang w:eastAsia="zh-CN"/>
        </w:rPr>
        <w:t>参加</w:t>
      </w:r>
      <w:r>
        <w:rPr>
          <w:rFonts w:hint="eastAsia" w:ascii="方正仿宋简体" w:hAnsi="方正仿宋简体" w:eastAsia="方正仿宋简体" w:cs="方正仿宋简体"/>
          <w:sz w:val="24"/>
          <w:szCs w:val="24"/>
        </w:rPr>
        <w:t>者须提供符合要求的</w:t>
      </w:r>
      <w:r>
        <w:rPr>
          <w:rFonts w:hint="eastAsia" w:ascii="方正仿宋简体" w:hAnsi="方正仿宋简体" w:eastAsia="方正仿宋简体" w:cs="方正仿宋简体"/>
          <w:sz w:val="24"/>
          <w:szCs w:val="24"/>
          <w:lang w:eastAsia="zh-CN"/>
        </w:rPr>
        <w:t>论证</w:t>
      </w:r>
      <w:r>
        <w:rPr>
          <w:rFonts w:hint="eastAsia" w:ascii="方正仿宋简体" w:hAnsi="方正仿宋简体" w:eastAsia="方正仿宋简体" w:cs="方正仿宋简体"/>
          <w:sz w:val="24"/>
          <w:szCs w:val="24"/>
        </w:rPr>
        <w:t>材料文件</w:t>
      </w:r>
      <w:r>
        <w:rPr>
          <w:rFonts w:hint="eastAsia" w:ascii="方正仿宋简体" w:hAnsi="方正仿宋简体" w:eastAsia="方正仿宋简体" w:cs="方正仿宋简体"/>
          <w:sz w:val="24"/>
          <w:szCs w:val="24"/>
          <w:lang w:eastAsia="zh-CN"/>
        </w:rPr>
        <w:t>，</w:t>
      </w:r>
      <w:r>
        <w:rPr>
          <w:rFonts w:hint="eastAsia" w:ascii="方正仿宋简体" w:hAnsi="方正仿宋简体" w:eastAsia="方正仿宋简体" w:cs="方正仿宋简体"/>
          <w:sz w:val="24"/>
          <w:szCs w:val="24"/>
        </w:rPr>
        <w:t>类似于标书形式正本1本、副本3本，并</w:t>
      </w:r>
      <w:r>
        <w:rPr>
          <w:rFonts w:hint="eastAsia" w:ascii="方正仿宋简体" w:hAnsi="方正仿宋简体" w:eastAsia="方正仿宋简体" w:cs="方正仿宋简体"/>
          <w:b w:val="0"/>
          <w:bCs/>
          <w:color w:val="auto"/>
          <w:sz w:val="24"/>
          <w:szCs w:val="24"/>
        </w:rPr>
        <w:t>保证所提供的各种材料真实、有效、齐全，承担相应的法律责任。请按下列顺序装订：</w:t>
      </w:r>
    </w:p>
    <w:p w14:paraId="1B2F9F95">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firstLineChars="0"/>
        <w:contextualSpacing/>
        <w:textAlignment w:val="auto"/>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sz w:val="24"/>
          <w:szCs w:val="24"/>
        </w:rPr>
        <w:t>封面：</w:t>
      </w:r>
      <w:r>
        <w:rPr>
          <w:rFonts w:hint="eastAsia" w:ascii="方正仿宋简体" w:hAnsi="方正仿宋简体" w:eastAsia="方正仿宋简体" w:cs="方正仿宋简体"/>
          <w:sz w:val="24"/>
          <w:szCs w:val="24"/>
          <w:lang w:eastAsia="zh-CN"/>
        </w:rPr>
        <w:t>包</w:t>
      </w:r>
      <w:r>
        <w:rPr>
          <w:rFonts w:hint="eastAsia" w:ascii="方正仿宋简体" w:hAnsi="方正仿宋简体" w:eastAsia="方正仿宋简体" w:cs="方正仿宋简体"/>
          <w:sz w:val="24"/>
          <w:szCs w:val="24"/>
        </w:rPr>
        <w:t>号、产品名称、品牌型号、注册证号、设备厂家设计使用期限、有无专机专用耗材/试剂，</w:t>
      </w:r>
      <w:r>
        <w:rPr>
          <w:rFonts w:hint="eastAsia" w:ascii="方正仿宋简体" w:hAnsi="方正仿宋简体" w:eastAsia="方正仿宋简体" w:cs="方正仿宋简体"/>
          <w:sz w:val="24"/>
          <w:szCs w:val="24"/>
          <w:lang w:eastAsia="zh-CN"/>
        </w:rPr>
        <w:t>免费质保年限、产品</w:t>
      </w:r>
      <w:r>
        <w:rPr>
          <w:rFonts w:hint="eastAsia" w:ascii="方正仿宋简体" w:hAnsi="方正仿宋简体" w:eastAsia="方正仿宋简体" w:cs="方正仿宋简体"/>
          <w:sz w:val="24"/>
          <w:szCs w:val="24"/>
        </w:rPr>
        <w:t>公司名称等信息。</w:t>
      </w:r>
    </w:p>
    <w:p w14:paraId="13664ADA">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4" w:leftChars="0"/>
        <w:contextualSpacing/>
        <w:jc w:val="center"/>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江宁妇幼保健院XX设备（包1）明细表</w:t>
      </w:r>
      <w:r>
        <w:rPr>
          <w:rFonts w:hint="eastAsia" w:ascii="方正仿宋简体" w:hAnsi="方正仿宋简体" w:eastAsia="方正仿宋简体" w:cs="方正仿宋简体"/>
          <w:sz w:val="24"/>
          <w:szCs w:val="24"/>
        </w:rPr>
        <w:t>（样表）</w:t>
      </w:r>
    </w:p>
    <w:tbl>
      <w:tblPr>
        <w:tblStyle w:val="17"/>
        <w:tblpPr w:leftFromText="180" w:rightFromText="180" w:vertAnchor="page" w:horzAnchor="page" w:tblpX="1146" w:tblpY="8597"/>
        <w:tblW w:w="9809" w:type="dxa"/>
        <w:tblInd w:w="0" w:type="dxa"/>
        <w:tblLayout w:type="fixed"/>
        <w:tblCellMar>
          <w:top w:w="0" w:type="dxa"/>
          <w:left w:w="108" w:type="dxa"/>
          <w:bottom w:w="0" w:type="dxa"/>
          <w:right w:w="108" w:type="dxa"/>
        </w:tblCellMar>
      </w:tblPr>
      <w:tblGrid>
        <w:gridCol w:w="655"/>
        <w:gridCol w:w="1080"/>
        <w:gridCol w:w="703"/>
        <w:gridCol w:w="703"/>
        <w:gridCol w:w="731"/>
        <w:gridCol w:w="763"/>
        <w:gridCol w:w="720"/>
        <w:gridCol w:w="780"/>
        <w:gridCol w:w="645"/>
        <w:gridCol w:w="870"/>
        <w:gridCol w:w="735"/>
        <w:gridCol w:w="795"/>
        <w:gridCol w:w="629"/>
      </w:tblGrid>
      <w:tr w14:paraId="4C5D983B">
        <w:tblPrEx>
          <w:tblCellMar>
            <w:top w:w="0" w:type="dxa"/>
            <w:left w:w="108" w:type="dxa"/>
            <w:bottom w:w="0" w:type="dxa"/>
            <w:right w:w="108" w:type="dxa"/>
          </w:tblCellMar>
        </w:tblPrEx>
        <w:trPr>
          <w:trHeight w:val="1535" w:hRule="atLeast"/>
        </w:trPr>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39140DD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bookmarkStart w:id="0" w:name="_Hlk107847716"/>
            <w:r>
              <w:rPr>
                <w:rFonts w:hint="eastAsia" w:ascii="宋体" w:hAnsi="宋体" w:cs="宋体"/>
                <w:b/>
                <w:bCs/>
                <w:color w:val="000000"/>
                <w:kern w:val="0"/>
                <w:sz w:val="22"/>
                <w:szCs w:val="22"/>
                <w:lang w:eastAsia="zh-CN"/>
              </w:rPr>
              <w:t>序号</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669C0D5">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医疗器械注册证产品名称</w:t>
            </w:r>
          </w:p>
        </w:tc>
        <w:tc>
          <w:tcPr>
            <w:tcW w:w="703" w:type="dxa"/>
            <w:tcBorders>
              <w:top w:val="single" w:color="auto" w:sz="4" w:space="0"/>
              <w:left w:val="nil"/>
              <w:bottom w:val="single" w:color="auto" w:sz="4" w:space="0"/>
              <w:right w:val="single" w:color="auto" w:sz="4" w:space="0"/>
            </w:tcBorders>
            <w:shd w:val="clear" w:color="auto" w:fill="auto"/>
            <w:vAlign w:val="center"/>
          </w:tcPr>
          <w:p w14:paraId="0C8F1A30">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品牌</w:t>
            </w:r>
          </w:p>
        </w:tc>
        <w:tc>
          <w:tcPr>
            <w:tcW w:w="703" w:type="dxa"/>
            <w:tcBorders>
              <w:top w:val="single" w:color="auto" w:sz="4" w:space="0"/>
              <w:left w:val="nil"/>
              <w:bottom w:val="single" w:color="auto" w:sz="4" w:space="0"/>
              <w:right w:val="single" w:color="auto" w:sz="4" w:space="0"/>
            </w:tcBorders>
            <w:shd w:val="clear" w:color="auto" w:fill="auto"/>
            <w:vAlign w:val="center"/>
          </w:tcPr>
          <w:p w14:paraId="2CCA79D3">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规格型号</w:t>
            </w:r>
          </w:p>
        </w:tc>
        <w:tc>
          <w:tcPr>
            <w:tcW w:w="731" w:type="dxa"/>
            <w:tcBorders>
              <w:top w:val="single" w:color="auto" w:sz="4" w:space="0"/>
              <w:left w:val="nil"/>
              <w:bottom w:val="single" w:color="auto" w:sz="4" w:space="0"/>
              <w:right w:val="single" w:color="auto" w:sz="4" w:space="0"/>
            </w:tcBorders>
            <w:shd w:val="clear" w:color="auto" w:fill="auto"/>
            <w:vAlign w:val="center"/>
          </w:tcPr>
          <w:p w14:paraId="683B470B">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设备注册证号</w:t>
            </w:r>
          </w:p>
        </w:tc>
        <w:tc>
          <w:tcPr>
            <w:tcW w:w="763" w:type="dxa"/>
            <w:tcBorders>
              <w:top w:val="single" w:color="auto" w:sz="4" w:space="0"/>
              <w:left w:val="nil"/>
              <w:bottom w:val="single" w:color="auto" w:sz="4" w:space="0"/>
              <w:right w:val="single" w:color="auto" w:sz="4" w:space="0"/>
            </w:tcBorders>
            <w:shd w:val="clear" w:color="auto" w:fill="auto"/>
            <w:vAlign w:val="center"/>
          </w:tcPr>
          <w:p w14:paraId="44AEFF5D">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设计使用年限</w:t>
            </w:r>
          </w:p>
        </w:tc>
        <w:tc>
          <w:tcPr>
            <w:tcW w:w="720" w:type="dxa"/>
            <w:tcBorders>
              <w:top w:val="single" w:color="auto" w:sz="4" w:space="0"/>
              <w:left w:val="nil"/>
              <w:bottom w:val="single" w:color="auto" w:sz="4" w:space="0"/>
              <w:right w:val="single" w:color="auto" w:sz="4" w:space="0"/>
            </w:tcBorders>
            <w:shd w:val="clear" w:color="auto" w:fill="auto"/>
            <w:vAlign w:val="center"/>
          </w:tcPr>
          <w:p w14:paraId="2DC5FF3F">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单价</w:t>
            </w:r>
            <w:r>
              <w:rPr>
                <w:rFonts w:hint="eastAsia" w:ascii="宋体" w:hAnsi="宋体" w:cs="宋体"/>
                <w:b/>
                <w:bCs/>
                <w:color w:val="000000"/>
                <w:kern w:val="0"/>
                <w:sz w:val="22"/>
                <w:szCs w:val="22"/>
                <w:lang w:val="en-US" w:eastAsia="zh-CN"/>
              </w:rPr>
              <w:t xml:space="preserve"> </w:t>
            </w:r>
            <w:r>
              <w:rPr>
                <w:rFonts w:hint="eastAsia" w:ascii="宋体" w:hAnsi="宋体" w:eastAsia="宋体" w:cs="宋体"/>
                <w:b/>
                <w:bCs/>
                <w:color w:val="000000"/>
                <w:kern w:val="0"/>
                <w:sz w:val="22"/>
                <w:szCs w:val="22"/>
              </w:rPr>
              <w:t>（</w:t>
            </w:r>
            <w:r>
              <w:rPr>
                <w:rFonts w:hint="eastAsia" w:ascii="宋体" w:hAnsi="宋体" w:cs="宋体"/>
                <w:b/>
                <w:bCs/>
                <w:color w:val="000000"/>
                <w:kern w:val="0"/>
                <w:sz w:val="22"/>
                <w:szCs w:val="22"/>
                <w:lang w:eastAsia="zh-CN"/>
              </w:rPr>
              <w:t>万</w:t>
            </w:r>
            <w:r>
              <w:rPr>
                <w:rFonts w:hint="eastAsia" w:ascii="宋体" w:hAnsi="宋体" w:eastAsia="宋体" w:cs="宋体"/>
                <w:b/>
                <w:bCs/>
                <w:color w:val="000000"/>
                <w:kern w:val="0"/>
                <w:sz w:val="22"/>
                <w:szCs w:val="22"/>
              </w:rPr>
              <w:t>元）</w:t>
            </w:r>
          </w:p>
        </w:tc>
        <w:tc>
          <w:tcPr>
            <w:tcW w:w="780" w:type="dxa"/>
            <w:tcBorders>
              <w:top w:val="single" w:color="auto" w:sz="4" w:space="0"/>
              <w:left w:val="nil"/>
              <w:bottom w:val="single" w:color="auto" w:sz="4" w:space="0"/>
              <w:right w:val="single" w:color="auto" w:sz="4" w:space="0"/>
            </w:tcBorders>
            <w:shd w:val="clear" w:color="auto" w:fill="auto"/>
            <w:vAlign w:val="center"/>
          </w:tcPr>
          <w:p w14:paraId="11DA1222">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cs="宋体"/>
                <w:b/>
                <w:bCs/>
                <w:color w:val="000000"/>
                <w:kern w:val="0"/>
                <w:sz w:val="22"/>
                <w:szCs w:val="22"/>
                <w:lang w:eastAsia="zh-CN"/>
              </w:rPr>
            </w:pPr>
            <w:r>
              <w:rPr>
                <w:rFonts w:hint="eastAsia" w:ascii="宋体" w:hAnsi="宋体" w:cs="宋体"/>
                <w:b/>
                <w:bCs/>
                <w:color w:val="000000"/>
                <w:kern w:val="0"/>
                <w:sz w:val="22"/>
                <w:szCs w:val="22"/>
                <w:lang w:eastAsia="zh-CN"/>
              </w:rPr>
              <w:t>数量（台、套）</w:t>
            </w:r>
          </w:p>
        </w:tc>
        <w:tc>
          <w:tcPr>
            <w:tcW w:w="645" w:type="dxa"/>
            <w:tcBorders>
              <w:top w:val="single" w:color="auto" w:sz="4" w:space="0"/>
              <w:left w:val="nil"/>
              <w:bottom w:val="single" w:color="auto" w:sz="4" w:space="0"/>
              <w:right w:val="single" w:color="auto" w:sz="4" w:space="0"/>
            </w:tcBorders>
            <w:shd w:val="clear" w:color="auto" w:fill="auto"/>
            <w:vAlign w:val="center"/>
          </w:tcPr>
          <w:p w14:paraId="2B53D2D7">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金额（万元）</w:t>
            </w:r>
          </w:p>
        </w:tc>
        <w:tc>
          <w:tcPr>
            <w:tcW w:w="870" w:type="dxa"/>
            <w:tcBorders>
              <w:top w:val="single" w:color="auto" w:sz="4" w:space="0"/>
              <w:left w:val="nil"/>
              <w:bottom w:val="single" w:color="auto" w:sz="4" w:space="0"/>
              <w:right w:val="single" w:color="auto" w:sz="4" w:space="0"/>
            </w:tcBorders>
            <w:shd w:val="clear" w:color="auto" w:fill="auto"/>
            <w:vAlign w:val="center"/>
          </w:tcPr>
          <w:p w14:paraId="73A7A95A">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eastAsia="zh-CN"/>
              </w:rPr>
              <w:t>有</w:t>
            </w:r>
            <w:r>
              <w:rPr>
                <w:rFonts w:hint="eastAsia" w:ascii="宋体" w:hAnsi="宋体" w:cs="宋体"/>
                <w:b/>
                <w:bCs/>
                <w:color w:val="000000"/>
                <w:kern w:val="0"/>
                <w:sz w:val="22"/>
                <w:szCs w:val="22"/>
                <w:lang w:val="en-US" w:eastAsia="zh-CN"/>
              </w:rPr>
              <w:t>无专机专用耗材/试剂</w:t>
            </w:r>
          </w:p>
        </w:tc>
        <w:tc>
          <w:tcPr>
            <w:tcW w:w="735" w:type="dxa"/>
            <w:tcBorders>
              <w:top w:val="single" w:color="auto" w:sz="4" w:space="0"/>
              <w:left w:val="nil"/>
              <w:bottom w:val="single" w:color="auto" w:sz="4" w:space="0"/>
              <w:right w:val="single" w:color="auto" w:sz="4" w:space="0"/>
            </w:tcBorders>
            <w:shd w:val="clear" w:color="auto" w:fill="auto"/>
            <w:vAlign w:val="center"/>
          </w:tcPr>
          <w:p w14:paraId="2FFB2AAA">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r>
              <w:rPr>
                <w:rFonts w:hint="eastAsia" w:ascii="宋体" w:hAnsi="宋体" w:cs="宋体"/>
                <w:b/>
                <w:bCs/>
                <w:color w:val="000000"/>
                <w:kern w:val="0"/>
                <w:sz w:val="22"/>
                <w:szCs w:val="22"/>
                <w:lang w:eastAsia="zh-CN"/>
              </w:rPr>
              <w:t>免费质保年限</w:t>
            </w:r>
          </w:p>
        </w:tc>
        <w:tc>
          <w:tcPr>
            <w:tcW w:w="795" w:type="dxa"/>
            <w:tcBorders>
              <w:top w:val="single" w:color="auto" w:sz="4" w:space="0"/>
              <w:left w:val="nil"/>
              <w:bottom w:val="single" w:color="auto" w:sz="4" w:space="0"/>
              <w:right w:val="single" w:color="auto" w:sz="4" w:space="0"/>
            </w:tcBorders>
            <w:shd w:val="clear" w:color="auto" w:fill="auto"/>
            <w:vAlign w:val="center"/>
          </w:tcPr>
          <w:p w14:paraId="476570C3">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cs="宋体"/>
                <w:b/>
                <w:bCs/>
                <w:color w:val="000000"/>
                <w:kern w:val="0"/>
                <w:sz w:val="22"/>
                <w:szCs w:val="22"/>
                <w:lang w:eastAsia="zh-CN"/>
              </w:rPr>
            </w:pPr>
            <w:r>
              <w:rPr>
                <w:rFonts w:hint="eastAsia" w:ascii="宋体" w:hAnsi="宋体" w:cs="宋体"/>
                <w:b/>
                <w:bCs/>
                <w:color w:val="000000"/>
                <w:kern w:val="0"/>
                <w:sz w:val="22"/>
                <w:szCs w:val="22"/>
                <w:lang w:eastAsia="zh-CN"/>
              </w:rPr>
              <w:t>产品公司名称</w:t>
            </w:r>
          </w:p>
        </w:tc>
        <w:tc>
          <w:tcPr>
            <w:tcW w:w="629" w:type="dxa"/>
            <w:tcBorders>
              <w:top w:val="single" w:color="auto" w:sz="4" w:space="0"/>
              <w:left w:val="nil"/>
              <w:bottom w:val="single" w:color="auto" w:sz="4" w:space="0"/>
              <w:right w:val="single" w:color="auto" w:sz="4" w:space="0"/>
            </w:tcBorders>
            <w:shd w:val="clear" w:color="auto" w:fill="auto"/>
            <w:vAlign w:val="center"/>
          </w:tcPr>
          <w:p w14:paraId="6BA6D22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cs="宋体"/>
                <w:b/>
                <w:bCs/>
                <w:color w:val="000000"/>
                <w:kern w:val="0"/>
                <w:sz w:val="22"/>
                <w:szCs w:val="22"/>
                <w:lang w:eastAsia="zh-CN"/>
              </w:rPr>
            </w:pPr>
            <w:r>
              <w:rPr>
                <w:rFonts w:hint="eastAsia" w:ascii="宋体" w:hAnsi="宋体" w:cs="宋体"/>
                <w:b/>
                <w:bCs/>
                <w:color w:val="000000"/>
                <w:kern w:val="0"/>
                <w:sz w:val="22"/>
                <w:szCs w:val="22"/>
                <w:lang w:eastAsia="zh-CN"/>
              </w:rPr>
              <w:t>备注</w:t>
            </w:r>
          </w:p>
        </w:tc>
      </w:tr>
      <w:tr w14:paraId="30510ED2">
        <w:tblPrEx>
          <w:tblCellMar>
            <w:top w:w="0" w:type="dxa"/>
            <w:left w:w="108" w:type="dxa"/>
            <w:bottom w:w="0" w:type="dxa"/>
            <w:right w:w="108" w:type="dxa"/>
          </w:tblCellMar>
        </w:tblPrEx>
        <w:trPr>
          <w:trHeight w:val="597" w:hRule="atLeast"/>
        </w:trPr>
        <w:tc>
          <w:tcPr>
            <w:tcW w:w="655" w:type="dxa"/>
            <w:tcBorders>
              <w:top w:val="nil"/>
              <w:left w:val="single" w:color="auto" w:sz="4" w:space="0"/>
              <w:bottom w:val="single" w:color="auto" w:sz="4" w:space="0"/>
              <w:right w:val="single" w:color="auto" w:sz="4" w:space="0"/>
            </w:tcBorders>
            <w:shd w:val="clear" w:color="auto" w:fill="auto"/>
            <w:vAlign w:val="center"/>
          </w:tcPr>
          <w:p w14:paraId="4345C630">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1</w:t>
            </w:r>
          </w:p>
        </w:tc>
        <w:tc>
          <w:tcPr>
            <w:tcW w:w="1080" w:type="dxa"/>
            <w:tcBorders>
              <w:top w:val="nil"/>
              <w:left w:val="single" w:color="auto" w:sz="4" w:space="0"/>
              <w:bottom w:val="single" w:color="auto" w:sz="4" w:space="0"/>
              <w:right w:val="single" w:color="auto" w:sz="4" w:space="0"/>
            </w:tcBorders>
            <w:shd w:val="clear" w:color="auto" w:fill="auto"/>
            <w:vAlign w:val="center"/>
          </w:tcPr>
          <w:p w14:paraId="11C2AE0F">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03" w:type="dxa"/>
            <w:tcBorders>
              <w:top w:val="nil"/>
              <w:left w:val="nil"/>
              <w:bottom w:val="single" w:color="auto" w:sz="4" w:space="0"/>
              <w:right w:val="single" w:color="auto" w:sz="4" w:space="0"/>
            </w:tcBorders>
            <w:shd w:val="clear" w:color="auto" w:fill="auto"/>
            <w:vAlign w:val="center"/>
          </w:tcPr>
          <w:p w14:paraId="64C69E4F">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03" w:type="dxa"/>
            <w:tcBorders>
              <w:top w:val="nil"/>
              <w:left w:val="nil"/>
              <w:bottom w:val="single" w:color="auto" w:sz="4" w:space="0"/>
              <w:right w:val="single" w:color="auto" w:sz="4" w:space="0"/>
            </w:tcBorders>
            <w:shd w:val="clear" w:color="auto" w:fill="auto"/>
            <w:vAlign w:val="center"/>
          </w:tcPr>
          <w:p w14:paraId="3D9B7F5C">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31" w:type="dxa"/>
            <w:tcBorders>
              <w:top w:val="nil"/>
              <w:left w:val="nil"/>
              <w:bottom w:val="single" w:color="auto" w:sz="4" w:space="0"/>
              <w:right w:val="single" w:color="auto" w:sz="4" w:space="0"/>
            </w:tcBorders>
            <w:shd w:val="clear" w:color="auto" w:fill="auto"/>
            <w:vAlign w:val="center"/>
          </w:tcPr>
          <w:p w14:paraId="02793252">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63" w:type="dxa"/>
            <w:tcBorders>
              <w:top w:val="nil"/>
              <w:left w:val="nil"/>
              <w:bottom w:val="single" w:color="auto" w:sz="4" w:space="0"/>
              <w:right w:val="single" w:color="auto" w:sz="4" w:space="0"/>
            </w:tcBorders>
            <w:shd w:val="clear" w:color="auto" w:fill="auto"/>
            <w:vAlign w:val="center"/>
          </w:tcPr>
          <w:p w14:paraId="2896B73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20" w:type="dxa"/>
            <w:tcBorders>
              <w:top w:val="nil"/>
              <w:left w:val="nil"/>
              <w:bottom w:val="single" w:color="auto" w:sz="4" w:space="0"/>
              <w:right w:val="single" w:color="auto" w:sz="4" w:space="0"/>
            </w:tcBorders>
            <w:shd w:val="clear" w:color="auto" w:fill="auto"/>
            <w:vAlign w:val="center"/>
          </w:tcPr>
          <w:p w14:paraId="02B93EC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80" w:type="dxa"/>
            <w:tcBorders>
              <w:top w:val="nil"/>
              <w:left w:val="nil"/>
              <w:bottom w:val="single" w:color="auto" w:sz="4" w:space="0"/>
              <w:right w:val="single" w:color="auto" w:sz="4" w:space="0"/>
            </w:tcBorders>
            <w:shd w:val="clear" w:color="auto" w:fill="auto"/>
            <w:vAlign w:val="center"/>
          </w:tcPr>
          <w:p w14:paraId="449CD20F">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645" w:type="dxa"/>
            <w:tcBorders>
              <w:top w:val="nil"/>
              <w:left w:val="nil"/>
              <w:bottom w:val="single" w:color="auto" w:sz="4" w:space="0"/>
              <w:right w:val="single" w:color="auto" w:sz="4" w:space="0"/>
            </w:tcBorders>
            <w:shd w:val="clear" w:color="auto" w:fill="auto"/>
            <w:vAlign w:val="center"/>
          </w:tcPr>
          <w:p w14:paraId="47AE5805">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870" w:type="dxa"/>
            <w:tcBorders>
              <w:top w:val="nil"/>
              <w:left w:val="nil"/>
              <w:bottom w:val="single" w:color="auto" w:sz="4" w:space="0"/>
              <w:right w:val="single" w:color="auto" w:sz="4" w:space="0"/>
            </w:tcBorders>
            <w:shd w:val="clear" w:color="auto" w:fill="auto"/>
            <w:vAlign w:val="center"/>
          </w:tcPr>
          <w:p w14:paraId="795374D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735" w:type="dxa"/>
            <w:tcBorders>
              <w:top w:val="nil"/>
              <w:left w:val="nil"/>
              <w:bottom w:val="single" w:color="auto" w:sz="4" w:space="0"/>
              <w:right w:val="single" w:color="auto" w:sz="4" w:space="0"/>
            </w:tcBorders>
            <w:shd w:val="clear" w:color="auto" w:fill="auto"/>
            <w:vAlign w:val="center"/>
          </w:tcPr>
          <w:p w14:paraId="3BD75176">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795" w:type="dxa"/>
            <w:tcBorders>
              <w:top w:val="nil"/>
              <w:left w:val="nil"/>
              <w:bottom w:val="single" w:color="auto" w:sz="4" w:space="0"/>
              <w:right w:val="single" w:color="auto" w:sz="4" w:space="0"/>
            </w:tcBorders>
            <w:shd w:val="clear" w:color="auto" w:fill="auto"/>
            <w:vAlign w:val="center"/>
          </w:tcPr>
          <w:p w14:paraId="0C07A7CB">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629" w:type="dxa"/>
            <w:tcBorders>
              <w:top w:val="nil"/>
              <w:left w:val="nil"/>
              <w:bottom w:val="single" w:color="auto" w:sz="4" w:space="0"/>
              <w:right w:val="single" w:color="auto" w:sz="4" w:space="0"/>
            </w:tcBorders>
            <w:shd w:val="clear" w:color="auto" w:fill="auto"/>
            <w:vAlign w:val="center"/>
          </w:tcPr>
          <w:p w14:paraId="35EE0423">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r>
      <w:tr w14:paraId="429B432D">
        <w:tblPrEx>
          <w:tblCellMar>
            <w:top w:w="0" w:type="dxa"/>
            <w:left w:w="108" w:type="dxa"/>
            <w:bottom w:w="0" w:type="dxa"/>
            <w:right w:w="108" w:type="dxa"/>
          </w:tblCellMar>
        </w:tblPrEx>
        <w:trPr>
          <w:trHeight w:val="582" w:hRule="atLeast"/>
        </w:trPr>
        <w:tc>
          <w:tcPr>
            <w:tcW w:w="655" w:type="dxa"/>
            <w:tcBorders>
              <w:top w:val="nil"/>
              <w:left w:val="single" w:color="auto" w:sz="4" w:space="0"/>
              <w:bottom w:val="single" w:color="auto" w:sz="4" w:space="0"/>
              <w:right w:val="single" w:color="auto" w:sz="4" w:space="0"/>
            </w:tcBorders>
            <w:shd w:val="clear" w:color="auto" w:fill="auto"/>
            <w:vAlign w:val="center"/>
          </w:tcPr>
          <w:p w14:paraId="011838D8">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lang w:eastAsia="zh-CN"/>
              </w:rPr>
            </w:pPr>
          </w:p>
        </w:tc>
        <w:tc>
          <w:tcPr>
            <w:tcW w:w="1080" w:type="dxa"/>
            <w:tcBorders>
              <w:top w:val="nil"/>
              <w:left w:val="single" w:color="auto" w:sz="4" w:space="0"/>
              <w:bottom w:val="single" w:color="auto" w:sz="4" w:space="0"/>
              <w:right w:val="single" w:color="auto" w:sz="4" w:space="0"/>
            </w:tcBorders>
            <w:shd w:val="clear" w:color="auto" w:fill="auto"/>
            <w:vAlign w:val="center"/>
          </w:tcPr>
          <w:p w14:paraId="2540087D">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03" w:type="dxa"/>
            <w:tcBorders>
              <w:top w:val="nil"/>
              <w:left w:val="nil"/>
              <w:bottom w:val="single" w:color="auto" w:sz="4" w:space="0"/>
              <w:right w:val="single" w:color="auto" w:sz="4" w:space="0"/>
            </w:tcBorders>
            <w:shd w:val="clear" w:color="auto" w:fill="auto"/>
            <w:vAlign w:val="center"/>
          </w:tcPr>
          <w:p w14:paraId="5FF39AD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03" w:type="dxa"/>
            <w:tcBorders>
              <w:top w:val="nil"/>
              <w:left w:val="nil"/>
              <w:bottom w:val="single" w:color="auto" w:sz="4" w:space="0"/>
              <w:right w:val="single" w:color="auto" w:sz="4" w:space="0"/>
            </w:tcBorders>
            <w:shd w:val="clear" w:color="auto" w:fill="auto"/>
            <w:vAlign w:val="center"/>
          </w:tcPr>
          <w:p w14:paraId="4ACDB65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31" w:type="dxa"/>
            <w:tcBorders>
              <w:top w:val="nil"/>
              <w:left w:val="nil"/>
              <w:bottom w:val="single" w:color="auto" w:sz="4" w:space="0"/>
              <w:right w:val="single" w:color="auto" w:sz="4" w:space="0"/>
            </w:tcBorders>
            <w:shd w:val="clear" w:color="auto" w:fill="auto"/>
            <w:vAlign w:val="center"/>
          </w:tcPr>
          <w:p w14:paraId="10FDA76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63" w:type="dxa"/>
            <w:tcBorders>
              <w:top w:val="nil"/>
              <w:left w:val="nil"/>
              <w:bottom w:val="single" w:color="auto" w:sz="4" w:space="0"/>
              <w:right w:val="single" w:color="auto" w:sz="4" w:space="0"/>
            </w:tcBorders>
            <w:shd w:val="clear" w:color="auto" w:fill="auto"/>
            <w:vAlign w:val="center"/>
          </w:tcPr>
          <w:p w14:paraId="7B169EAA">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20" w:type="dxa"/>
            <w:tcBorders>
              <w:top w:val="nil"/>
              <w:left w:val="nil"/>
              <w:bottom w:val="single" w:color="auto" w:sz="4" w:space="0"/>
              <w:right w:val="single" w:color="auto" w:sz="4" w:space="0"/>
            </w:tcBorders>
            <w:shd w:val="clear" w:color="auto" w:fill="auto"/>
            <w:vAlign w:val="center"/>
          </w:tcPr>
          <w:p w14:paraId="14FE18FB">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r>
              <w:rPr>
                <w:rFonts w:hint="eastAsia" w:ascii="宋体" w:hAnsi="宋体" w:eastAsia="宋体" w:cs="宋体"/>
                <w:b/>
                <w:bCs/>
                <w:color w:val="000000"/>
                <w:kern w:val="0"/>
                <w:sz w:val="22"/>
                <w:szCs w:val="22"/>
              </w:rPr>
              <w:t>　</w:t>
            </w:r>
          </w:p>
        </w:tc>
        <w:tc>
          <w:tcPr>
            <w:tcW w:w="780" w:type="dxa"/>
            <w:tcBorders>
              <w:top w:val="nil"/>
              <w:left w:val="nil"/>
              <w:bottom w:val="single" w:color="auto" w:sz="4" w:space="0"/>
              <w:right w:val="single" w:color="auto" w:sz="4" w:space="0"/>
            </w:tcBorders>
            <w:shd w:val="clear" w:color="auto" w:fill="auto"/>
            <w:vAlign w:val="center"/>
          </w:tcPr>
          <w:p w14:paraId="5667EEDB">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645" w:type="dxa"/>
            <w:tcBorders>
              <w:top w:val="nil"/>
              <w:left w:val="nil"/>
              <w:bottom w:val="single" w:color="auto" w:sz="4" w:space="0"/>
              <w:right w:val="single" w:color="auto" w:sz="4" w:space="0"/>
            </w:tcBorders>
            <w:shd w:val="clear" w:color="auto" w:fill="auto"/>
            <w:vAlign w:val="center"/>
          </w:tcPr>
          <w:p w14:paraId="1AD4265D">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870" w:type="dxa"/>
            <w:tcBorders>
              <w:top w:val="nil"/>
              <w:left w:val="nil"/>
              <w:bottom w:val="single" w:color="auto" w:sz="4" w:space="0"/>
              <w:right w:val="single" w:color="auto" w:sz="4" w:space="0"/>
            </w:tcBorders>
            <w:shd w:val="clear" w:color="auto" w:fill="auto"/>
            <w:vAlign w:val="center"/>
          </w:tcPr>
          <w:p w14:paraId="7645CF2F">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735" w:type="dxa"/>
            <w:tcBorders>
              <w:top w:val="nil"/>
              <w:left w:val="nil"/>
              <w:bottom w:val="single" w:color="auto" w:sz="4" w:space="0"/>
              <w:right w:val="single" w:color="auto" w:sz="4" w:space="0"/>
            </w:tcBorders>
            <w:shd w:val="clear" w:color="auto" w:fill="auto"/>
            <w:vAlign w:val="center"/>
          </w:tcPr>
          <w:p w14:paraId="5AE7E97B">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795" w:type="dxa"/>
            <w:tcBorders>
              <w:top w:val="nil"/>
              <w:left w:val="nil"/>
              <w:bottom w:val="single" w:color="auto" w:sz="4" w:space="0"/>
              <w:right w:val="single" w:color="auto" w:sz="4" w:space="0"/>
            </w:tcBorders>
            <w:shd w:val="clear" w:color="auto" w:fill="auto"/>
            <w:vAlign w:val="center"/>
          </w:tcPr>
          <w:p w14:paraId="50AE2D7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2"/>
                <w:szCs w:val="22"/>
              </w:rPr>
            </w:pPr>
          </w:p>
        </w:tc>
        <w:tc>
          <w:tcPr>
            <w:tcW w:w="629" w:type="dxa"/>
            <w:tcBorders>
              <w:top w:val="nil"/>
              <w:left w:val="nil"/>
              <w:bottom w:val="single" w:color="auto" w:sz="4" w:space="0"/>
              <w:right w:val="single" w:color="auto" w:sz="4" w:space="0"/>
            </w:tcBorders>
            <w:shd w:val="clear" w:color="auto" w:fill="auto"/>
            <w:vAlign w:val="center"/>
          </w:tcPr>
          <w:p w14:paraId="17018487">
            <w:pPr>
              <w:pStyle w:val="2"/>
              <w:rPr>
                <w:rFonts w:hint="eastAsia"/>
                <w:sz w:val="20"/>
                <w:szCs w:val="22"/>
              </w:rPr>
            </w:pPr>
          </w:p>
        </w:tc>
      </w:tr>
    </w:tbl>
    <w:p w14:paraId="49695E28">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firstLine="480" w:firstLineChars="200"/>
        <w:contextualSpacing/>
        <w:textAlignment w:val="auto"/>
        <w:outlineLvl w:val="9"/>
        <w:rPr>
          <w:rFonts w:hint="eastAsia" w:ascii="方正仿宋简体" w:hAnsi="方正仿宋简体" w:eastAsia="方正仿宋简体" w:cs="方正仿宋简体"/>
          <w:b/>
          <w:bCs/>
          <w:sz w:val="24"/>
          <w:szCs w:val="24"/>
          <w:lang w:eastAsia="zh-CN"/>
        </w:rPr>
      </w:pPr>
      <w:r>
        <w:rPr>
          <w:rFonts w:hint="eastAsia" w:ascii="方正仿宋简体" w:hAnsi="方正仿宋简体" w:eastAsia="方正仿宋简体" w:cs="方正仿宋简体"/>
          <w:b/>
          <w:bCs/>
          <w:color w:val="FF0000"/>
          <w:sz w:val="24"/>
          <w:szCs w:val="24"/>
          <w:lang w:eastAsia="zh-CN"/>
        </w:rPr>
        <w:t>（注：明细表序号按照公告中论证项目的对应序号填写）</w:t>
      </w:r>
    </w:p>
    <w:p w14:paraId="58EB2C12">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信用承诺书（</w:t>
      </w:r>
      <w:r>
        <w:rPr>
          <w:rFonts w:hint="eastAsia" w:ascii="方正仿宋简体" w:hAnsi="方正仿宋简体" w:eastAsia="方正仿宋简体" w:cs="方正仿宋简体"/>
          <w:b/>
          <w:bCs/>
          <w:sz w:val="24"/>
          <w:szCs w:val="24"/>
        </w:rPr>
        <w:t>请填写附件1</w:t>
      </w:r>
      <w:r>
        <w:rPr>
          <w:rFonts w:hint="eastAsia" w:ascii="方正仿宋简体" w:hAnsi="方正仿宋简体" w:eastAsia="方正仿宋简体" w:cs="方正仿宋简体"/>
          <w:sz w:val="24"/>
          <w:szCs w:val="24"/>
        </w:rPr>
        <w:t>）</w:t>
      </w:r>
    </w:p>
    <w:bookmarkEnd w:id="0"/>
    <w:p w14:paraId="454BE4E0">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产品资质（包括注册证（</w:t>
      </w:r>
      <w:r>
        <w:rPr>
          <w:rFonts w:hint="eastAsia" w:ascii="方正仿宋简体" w:hAnsi="方正仿宋简体" w:eastAsia="方正仿宋简体" w:cs="方正仿宋简体"/>
          <w:b/>
          <w:bCs/>
          <w:color w:val="FF0000"/>
          <w:sz w:val="24"/>
          <w:szCs w:val="24"/>
        </w:rPr>
        <w:t>注册证如有变更文件附页请务必提供完整</w:t>
      </w:r>
      <w:r>
        <w:rPr>
          <w:rFonts w:hint="eastAsia" w:ascii="方正仿宋简体" w:hAnsi="方正仿宋简体" w:eastAsia="方正仿宋简体" w:cs="方正仿宋简体"/>
          <w:sz w:val="24"/>
          <w:szCs w:val="24"/>
        </w:rPr>
        <w:t>）、国际认证等）及简介，附一份查询注册证时的药监部门网站截图。</w:t>
      </w:r>
    </w:p>
    <w:p w14:paraId="62FB6AE6">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提供设备生产厂家对所投产品的设计使用期限信息（如说明书、注册证、铭牌等）复印件或照片，并提供设备超出使用期限后使用可能存在潜在临床风险及法规问题。如无明确要求则请出具原厂说明文件并加盖原厂及报名公司公章。</w:t>
      </w:r>
    </w:p>
    <w:p w14:paraId="57666726">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sz w:val="24"/>
          <w:szCs w:val="24"/>
        </w:rPr>
        <w:t>设备铭牌！（必须提供）</w:t>
      </w:r>
    </w:p>
    <w:p w14:paraId="621F6DC7">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配置清单（配置清单中不得有价格显示）。</w:t>
      </w:r>
    </w:p>
    <w:p w14:paraId="50612C85">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产品技术参数。</w:t>
      </w:r>
    </w:p>
    <w:p w14:paraId="753F1559">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产品安装场地等要求（</w:t>
      </w:r>
      <w:r>
        <w:rPr>
          <w:rFonts w:hint="eastAsia" w:ascii="方正仿宋简体" w:hAnsi="方正仿宋简体" w:eastAsia="方正仿宋简体" w:cs="方正仿宋简体"/>
          <w:b/>
          <w:bCs/>
          <w:sz w:val="24"/>
          <w:szCs w:val="24"/>
        </w:rPr>
        <w:t>参考附件2填写）</w:t>
      </w:r>
    </w:p>
    <w:p w14:paraId="4007E4A6">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市场同类同档次产品的性能对比表。</w:t>
      </w:r>
    </w:p>
    <w:p w14:paraId="556341F3">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生产厂家和代理公司资质及简介。</w:t>
      </w:r>
    </w:p>
    <w:p w14:paraId="38EA05F4">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生产厂家授权书</w:t>
      </w:r>
      <w:r>
        <w:rPr>
          <w:rFonts w:hint="eastAsia" w:ascii="方正仿宋简体" w:hAnsi="方正仿宋简体" w:eastAsia="方正仿宋简体" w:cs="方正仿宋简体"/>
          <w:b/>
          <w:bCs/>
          <w:sz w:val="24"/>
          <w:szCs w:val="24"/>
        </w:rPr>
        <w:t>（</w:t>
      </w:r>
      <w:r>
        <w:rPr>
          <w:rFonts w:hint="eastAsia" w:ascii="方正仿宋简体" w:hAnsi="方正仿宋简体" w:eastAsia="方正仿宋简体" w:cs="方正仿宋简体"/>
          <w:b/>
          <w:bCs/>
          <w:color w:val="FF0000"/>
          <w:sz w:val="24"/>
          <w:szCs w:val="24"/>
        </w:rPr>
        <w:t>要求参与</w:t>
      </w:r>
      <w:r>
        <w:rPr>
          <w:rFonts w:hint="eastAsia" w:ascii="方正仿宋简体" w:hAnsi="方正仿宋简体" w:eastAsia="方正仿宋简体" w:cs="方正仿宋简体"/>
          <w:b/>
          <w:bCs/>
          <w:color w:val="FF0000"/>
          <w:sz w:val="24"/>
          <w:szCs w:val="24"/>
          <w:lang w:eastAsia="zh-CN"/>
        </w:rPr>
        <w:t>论证</w:t>
      </w:r>
      <w:r>
        <w:rPr>
          <w:rFonts w:hint="eastAsia" w:ascii="方正仿宋简体" w:hAnsi="方正仿宋简体" w:eastAsia="方正仿宋简体" w:cs="方正仿宋简体"/>
          <w:b/>
          <w:bCs/>
          <w:color w:val="FF0000"/>
          <w:sz w:val="24"/>
          <w:szCs w:val="24"/>
        </w:rPr>
        <w:t>调研公司至少为南京市区域代理，不接受</w:t>
      </w:r>
      <w:r>
        <w:rPr>
          <w:rFonts w:hint="eastAsia" w:ascii="方正仿宋简体" w:hAnsi="方正仿宋简体" w:eastAsia="方正仿宋简体" w:cs="方正仿宋简体"/>
          <w:b/>
          <w:bCs/>
          <w:color w:val="FF0000"/>
          <w:sz w:val="24"/>
          <w:szCs w:val="24"/>
          <w:lang w:eastAsia="zh-CN"/>
        </w:rPr>
        <w:t>江宁妇幼保健</w:t>
      </w:r>
      <w:r>
        <w:rPr>
          <w:rFonts w:hint="eastAsia" w:ascii="方正仿宋简体" w:hAnsi="方正仿宋简体" w:eastAsia="方正仿宋简体" w:cs="方正仿宋简体"/>
          <w:b/>
          <w:bCs/>
          <w:color w:val="FF0000"/>
          <w:sz w:val="24"/>
          <w:szCs w:val="24"/>
        </w:rPr>
        <w:t>院专项授权</w:t>
      </w:r>
      <w:r>
        <w:rPr>
          <w:rFonts w:hint="eastAsia" w:ascii="方正仿宋简体" w:hAnsi="方正仿宋简体" w:eastAsia="方正仿宋简体" w:cs="方正仿宋简体"/>
          <w:sz w:val="24"/>
          <w:szCs w:val="24"/>
        </w:rPr>
        <w:t>）、经销人员身份证复印件、经销人员在参与</w:t>
      </w:r>
      <w:r>
        <w:rPr>
          <w:rFonts w:hint="eastAsia" w:ascii="方正仿宋简体" w:hAnsi="方正仿宋简体" w:eastAsia="方正仿宋简体" w:cs="方正仿宋简体"/>
          <w:sz w:val="24"/>
          <w:szCs w:val="24"/>
          <w:lang w:eastAsia="zh-CN"/>
        </w:rPr>
        <w:t>论证</w:t>
      </w:r>
      <w:r>
        <w:rPr>
          <w:rFonts w:hint="eastAsia" w:ascii="方正仿宋简体" w:hAnsi="方正仿宋简体" w:eastAsia="方正仿宋简体" w:cs="方正仿宋简体"/>
          <w:sz w:val="24"/>
          <w:szCs w:val="24"/>
        </w:rPr>
        <w:t>比选、调研公司所缴纳社保证明（</w:t>
      </w:r>
      <w:r>
        <w:rPr>
          <w:rFonts w:hint="eastAsia" w:ascii="方正仿宋简体" w:hAnsi="方正仿宋简体" w:eastAsia="方正仿宋简体" w:cs="方正仿宋简体"/>
          <w:b/>
          <w:bCs/>
          <w:sz w:val="24"/>
          <w:szCs w:val="24"/>
        </w:rPr>
        <w:t>半年以上</w:t>
      </w:r>
      <w:r>
        <w:rPr>
          <w:rFonts w:hint="eastAsia" w:ascii="方正仿宋简体" w:hAnsi="方正仿宋简体" w:eastAsia="方正仿宋简体" w:cs="方正仿宋简体"/>
          <w:sz w:val="24"/>
          <w:szCs w:val="24"/>
        </w:rPr>
        <w:t>）。</w:t>
      </w:r>
    </w:p>
    <w:p w14:paraId="4CB65FE6">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售后服务条款（</w:t>
      </w:r>
      <w:r>
        <w:rPr>
          <w:rFonts w:hint="eastAsia" w:ascii="方正仿宋简体" w:hAnsi="方正仿宋简体" w:eastAsia="方正仿宋简体" w:cs="方正仿宋简体"/>
          <w:b/>
          <w:bCs/>
          <w:sz w:val="24"/>
          <w:szCs w:val="24"/>
        </w:rPr>
        <w:t>请填写附件3</w:t>
      </w:r>
      <w:r>
        <w:rPr>
          <w:rFonts w:hint="eastAsia" w:ascii="方正仿宋简体" w:hAnsi="方正仿宋简体" w:eastAsia="方正仿宋简体" w:cs="方正仿宋简体"/>
          <w:sz w:val="24"/>
          <w:szCs w:val="24"/>
        </w:rPr>
        <w:t>）。</w:t>
      </w:r>
    </w:p>
    <w:p w14:paraId="7D9E334A">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其他医院（以三甲医院为主）中标通知书或合同及相应配置。</w:t>
      </w:r>
    </w:p>
    <w:p w14:paraId="3BB1535D">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用户名单、采购时间及联系人。</w:t>
      </w:r>
    </w:p>
    <w:p w14:paraId="082A5382">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宣传彩页（纸质版需要提供印刷版，打印和复印版无效；电子版需扫描彩页）。</w:t>
      </w:r>
    </w:p>
    <w:p w14:paraId="45366BED">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lang w:eastAsia="zh-CN"/>
        </w:rPr>
        <w:t>论证</w:t>
      </w:r>
      <w:r>
        <w:rPr>
          <w:rFonts w:hint="eastAsia" w:ascii="方正仿宋简体" w:hAnsi="方正仿宋简体" w:eastAsia="方正仿宋简体" w:cs="方正仿宋简体"/>
          <w:sz w:val="24"/>
          <w:szCs w:val="24"/>
        </w:rPr>
        <w:t>比选、调研材料真实性及购销廉洁声明（</w:t>
      </w:r>
      <w:r>
        <w:rPr>
          <w:rFonts w:hint="eastAsia" w:ascii="方正仿宋简体" w:hAnsi="方正仿宋简体" w:eastAsia="方正仿宋简体" w:cs="方正仿宋简体"/>
          <w:b/>
          <w:bCs/>
          <w:sz w:val="24"/>
          <w:szCs w:val="24"/>
        </w:rPr>
        <w:t>见附件4</w:t>
      </w:r>
      <w:r>
        <w:rPr>
          <w:rFonts w:hint="eastAsia" w:ascii="方正仿宋简体" w:hAnsi="方正仿宋简体" w:eastAsia="方正仿宋简体" w:cs="方正仿宋简体"/>
          <w:sz w:val="24"/>
          <w:szCs w:val="24"/>
        </w:rPr>
        <w:t>）。</w:t>
      </w:r>
    </w:p>
    <w:p w14:paraId="3B49D1CF">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上述材料正本必须加盖报名公司的公章，复印公章无效。</w:t>
      </w:r>
    </w:p>
    <w:p w14:paraId="579F43F9">
      <w:pPr>
        <w:keepNext w:val="0"/>
        <w:keepLines w:val="0"/>
        <w:pageBreakBefore w:val="0"/>
        <w:widowControl w:val="0"/>
        <w:numPr>
          <w:ilvl w:val="0"/>
          <w:numId w:val="4"/>
        </w:numPr>
        <w:kinsoku/>
        <w:wordWrap/>
        <w:overflowPunct/>
        <w:topLinePunct w:val="0"/>
        <w:autoSpaceDE/>
        <w:autoSpaceDN/>
        <w:bidi w:val="0"/>
        <w:adjustRightInd/>
        <w:snapToGrid/>
        <w:spacing w:before="156" w:beforeLines="50" w:after="156" w:afterLines="50" w:line="440" w:lineRule="exact"/>
        <w:textAlignment w:val="auto"/>
        <w:outlineLvl w:val="9"/>
        <w:rPr>
          <w:rFonts w:hint="eastAsia" w:ascii="方正仿宋简体" w:hAnsi="方正仿宋简体" w:eastAsia="方正仿宋简体" w:cs="方正仿宋简体"/>
          <w:b/>
          <w:bCs/>
          <w:color w:val="000000" w:themeColor="text1"/>
          <w:sz w:val="24"/>
          <w:szCs w:val="24"/>
          <w14:textFill>
            <w14:solidFill>
              <w14:schemeClr w14:val="tx1"/>
            </w14:solidFill>
          </w14:textFill>
        </w:rPr>
      </w:pPr>
      <w:r>
        <w:rPr>
          <w:rFonts w:hint="eastAsia" w:ascii="方正仿宋简体" w:hAnsi="方正仿宋简体" w:eastAsia="方正仿宋简体" w:cs="方正仿宋简体"/>
          <w:b/>
          <w:bCs/>
          <w:color w:val="000000" w:themeColor="text1"/>
          <w:sz w:val="24"/>
          <w:szCs w:val="24"/>
          <w:lang w:eastAsia="zh-CN"/>
          <w14:textFill>
            <w14:solidFill>
              <w14:schemeClr w14:val="tx1"/>
            </w14:solidFill>
          </w14:textFill>
        </w:rPr>
        <w:t>报名</w:t>
      </w:r>
    </w:p>
    <w:p w14:paraId="038F1EC7">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b/>
          <w:bCs/>
          <w:sz w:val="24"/>
          <w:szCs w:val="24"/>
          <w:lang w:eastAsia="zh-CN"/>
        </w:rPr>
      </w:pPr>
      <w:r>
        <w:rPr>
          <w:rFonts w:hint="eastAsia" w:ascii="方正仿宋简体" w:hAnsi="方正仿宋简体" w:eastAsia="方正仿宋简体" w:cs="方正仿宋简体"/>
          <w:b/>
          <w:bCs/>
          <w:sz w:val="24"/>
          <w:szCs w:val="24"/>
          <w:lang w:val="en-US" w:eastAsia="zh-CN"/>
        </w:rPr>
        <w:t>1.</w:t>
      </w:r>
      <w:r>
        <w:rPr>
          <w:rFonts w:hint="eastAsia" w:ascii="方正仿宋简体" w:hAnsi="方正仿宋简体" w:eastAsia="方正仿宋简体" w:cs="方正仿宋简体"/>
          <w:b/>
          <w:bCs/>
          <w:color w:val="FF0000"/>
          <w:sz w:val="24"/>
          <w:szCs w:val="24"/>
          <w:shd w:val="clear" w:color="auto" w:fill="auto"/>
          <w:lang w:val="en-US" w:eastAsia="zh-CN"/>
        </w:rPr>
        <w:t>请报名参加供应商根据项目预算及采购需求概况（所述需求为最基本要求），鼓励推荐所投品牌最高最新版本产品。</w:t>
      </w:r>
    </w:p>
    <w:p w14:paraId="4D8B0A22">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pPr>
      <w:r>
        <w:rPr>
          <w:rFonts w:hint="eastAsia" w:ascii="方正仿宋简体" w:hAnsi="方正仿宋简体" w:eastAsia="方正仿宋简体" w:cs="方正仿宋简体"/>
          <w:b/>
          <w:bCs/>
          <w:sz w:val="24"/>
          <w:szCs w:val="24"/>
          <w:lang w:val="en-US" w:eastAsia="zh-CN"/>
        </w:rPr>
        <w:t>2.</w:t>
      </w:r>
      <w:r>
        <w:rPr>
          <w:rFonts w:hint="eastAsia" w:ascii="方正仿宋简体" w:hAnsi="方正仿宋简体" w:eastAsia="方正仿宋简体" w:cs="方正仿宋简体"/>
          <w:color w:val="000000" w:themeColor="text1"/>
          <w:sz w:val="24"/>
          <w:szCs w:val="24"/>
          <w14:textFill>
            <w14:solidFill>
              <w14:schemeClr w14:val="tx1"/>
            </w14:solidFill>
          </w14:textFill>
        </w:rPr>
        <w:t>所投供应商需在中国境内注册、具有独立法人资格，符合相关法律法规的经销商</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24"/>
          <w:szCs w:val="24"/>
          <w14:textFill>
            <w14:solidFill>
              <w14:schemeClr w14:val="tx1"/>
            </w14:solidFill>
          </w14:textFill>
        </w:rPr>
        <w:t>所投供应商</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销售人员及联系人要有公司授权许可等证明资料</w:t>
      </w:r>
      <w:r>
        <w:rPr>
          <w:rFonts w:hint="eastAsia" w:ascii="方正仿宋简体" w:hAnsi="方正仿宋简体" w:eastAsia="方正仿宋简体" w:cs="方正仿宋简体"/>
          <w:b/>
          <w:bCs/>
          <w:color w:val="FF0000"/>
          <w:sz w:val="24"/>
          <w:szCs w:val="24"/>
          <w:lang w:eastAsia="zh-CN"/>
        </w:rPr>
        <w:t>（凭报名表、授权书、联系人身份证原件进行现场报名登记）</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p>
    <w:p w14:paraId="6EA5AE1B">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outlineLvl w:val="9"/>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pPr>
      <w:r>
        <w:rPr>
          <w:rFonts w:hint="eastAsia" w:ascii="方正仿宋简体" w:hAnsi="方正仿宋简体" w:eastAsia="方正仿宋简体" w:cs="方正仿宋简体"/>
          <w:color w:val="000000" w:themeColor="text1"/>
          <w:sz w:val="24"/>
          <w:szCs w:val="24"/>
          <w14:textFill>
            <w14:solidFill>
              <w14:schemeClr w14:val="tx1"/>
            </w14:solidFill>
          </w14:textFill>
        </w:rPr>
        <w:t>报名表</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24"/>
          <w:szCs w:val="24"/>
          <w:lang w:val="en-US" w:eastAsia="zh-CN"/>
          <w14:textFill>
            <w14:solidFill>
              <w14:schemeClr w14:val="tx1"/>
            </w14:solidFill>
          </w14:textFill>
        </w:rPr>
        <w:t>报名时填全必交</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p>
    <w:tbl>
      <w:tblPr>
        <w:tblStyle w:val="17"/>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1451"/>
        <w:gridCol w:w="1500"/>
        <w:gridCol w:w="2392"/>
        <w:gridCol w:w="1203"/>
        <w:gridCol w:w="1455"/>
      </w:tblGrid>
      <w:tr w14:paraId="47A6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4" w:type="dxa"/>
            <w:vAlign w:val="center"/>
          </w:tcPr>
          <w:p w14:paraId="3A9F61BE">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公司名称</w:t>
            </w:r>
          </w:p>
        </w:tc>
        <w:tc>
          <w:tcPr>
            <w:tcW w:w="1451" w:type="dxa"/>
            <w:vAlign w:val="center"/>
          </w:tcPr>
          <w:p w14:paraId="4C899602">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所投产品</w:t>
            </w:r>
          </w:p>
        </w:tc>
        <w:tc>
          <w:tcPr>
            <w:tcW w:w="1500" w:type="dxa"/>
            <w:vAlign w:val="center"/>
          </w:tcPr>
          <w:p w14:paraId="40BA6A07">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分类</w:t>
            </w:r>
            <w:r>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t>包号</w:t>
            </w:r>
          </w:p>
        </w:tc>
        <w:tc>
          <w:tcPr>
            <w:tcW w:w="2392" w:type="dxa"/>
            <w:vAlign w:val="center"/>
          </w:tcPr>
          <w:p w14:paraId="25D01DC0">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t>公司</w:t>
            </w: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资质</w:t>
            </w:r>
            <w:r>
              <w:rPr>
                <w:rFonts w:hint="eastAsia" w:ascii="方正仿宋简体" w:hAnsi="方正仿宋简体" w:eastAsia="方正仿宋简体" w:cs="方正仿宋简体"/>
                <w:b w:val="0"/>
                <w:bCs w:val="0"/>
                <w:color w:val="000000" w:themeColor="text1"/>
                <w:sz w:val="24"/>
                <w:szCs w:val="24"/>
                <w:lang w:eastAsia="zh-CN"/>
                <w14:textFill>
                  <w14:solidFill>
                    <w14:schemeClr w14:val="tx1"/>
                  </w14:solidFill>
                </w14:textFill>
              </w:rPr>
              <w:t>、</w:t>
            </w:r>
            <w:r>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t>产品</w:t>
            </w:r>
          </w:p>
          <w:p w14:paraId="72D35950">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lang w:val="en-US" w:eastAsia="zh-CN"/>
                <w14:textFill>
                  <w14:solidFill>
                    <w14:schemeClr w14:val="tx1"/>
                  </w14:solidFill>
                </w14:textFill>
              </w:rPr>
              <w:t>注册证及附件</w:t>
            </w:r>
          </w:p>
        </w:tc>
        <w:tc>
          <w:tcPr>
            <w:tcW w:w="1203" w:type="dxa"/>
            <w:vAlign w:val="center"/>
          </w:tcPr>
          <w:p w14:paraId="67C5FCCD">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联系人</w:t>
            </w:r>
          </w:p>
        </w:tc>
        <w:tc>
          <w:tcPr>
            <w:tcW w:w="1455" w:type="dxa"/>
            <w:vAlign w:val="center"/>
          </w:tcPr>
          <w:p w14:paraId="17BFAD11">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pPr>
            <w:r>
              <w:rPr>
                <w:rFonts w:hint="eastAsia" w:ascii="方正仿宋简体" w:hAnsi="方正仿宋简体" w:eastAsia="方正仿宋简体" w:cs="方正仿宋简体"/>
                <w:b w:val="0"/>
                <w:bCs w:val="0"/>
                <w:color w:val="000000" w:themeColor="text1"/>
                <w:sz w:val="24"/>
                <w:szCs w:val="24"/>
                <w14:textFill>
                  <w14:solidFill>
                    <w14:schemeClr w14:val="tx1"/>
                  </w14:solidFill>
                </w14:textFill>
              </w:rPr>
              <w:t>联系电话</w:t>
            </w:r>
          </w:p>
        </w:tc>
      </w:tr>
      <w:tr w14:paraId="6427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4" w:type="dxa"/>
          </w:tcPr>
          <w:p w14:paraId="18433608">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451" w:type="dxa"/>
          </w:tcPr>
          <w:p w14:paraId="0BC5F8B3">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500" w:type="dxa"/>
          </w:tcPr>
          <w:p w14:paraId="7B590C9E">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2392" w:type="dxa"/>
          </w:tcPr>
          <w:p w14:paraId="3F53D794">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203" w:type="dxa"/>
          </w:tcPr>
          <w:p w14:paraId="0775AAA7">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455" w:type="dxa"/>
          </w:tcPr>
          <w:p w14:paraId="26D98735">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r>
      <w:tr w14:paraId="1EF7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44" w:type="dxa"/>
          </w:tcPr>
          <w:p w14:paraId="5217CBA2">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451" w:type="dxa"/>
          </w:tcPr>
          <w:p w14:paraId="134E2171">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500" w:type="dxa"/>
          </w:tcPr>
          <w:p w14:paraId="2684495D">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2392" w:type="dxa"/>
          </w:tcPr>
          <w:p w14:paraId="0D009796">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203" w:type="dxa"/>
          </w:tcPr>
          <w:p w14:paraId="3B849BC7">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c>
          <w:tcPr>
            <w:tcW w:w="1455" w:type="dxa"/>
          </w:tcPr>
          <w:p w14:paraId="440D8DC8">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4"/>
                <w:szCs w:val="24"/>
                <w14:textFill>
                  <w14:solidFill>
                    <w14:schemeClr w14:val="tx1"/>
                  </w14:solidFill>
                </w14:textFill>
              </w:rPr>
            </w:pPr>
          </w:p>
        </w:tc>
      </w:tr>
    </w:tbl>
    <w:p w14:paraId="37EF2B3D">
      <w:pPr>
        <w:pStyle w:val="2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简体" w:hAnsi="方正仿宋简体" w:eastAsia="方正仿宋简体" w:cs="方正仿宋简体"/>
          <w:color w:val="000000" w:themeColor="text1"/>
          <w:sz w:val="24"/>
          <w:szCs w:val="24"/>
          <w14:textFill>
            <w14:solidFill>
              <w14:schemeClr w14:val="tx1"/>
            </w14:solidFill>
          </w14:textFill>
        </w:rPr>
      </w:pPr>
      <w:r>
        <w:rPr>
          <w:rFonts w:hint="eastAsia" w:ascii="方正仿宋简体" w:hAnsi="方正仿宋简体" w:eastAsia="方正仿宋简体" w:cs="方正仿宋简体"/>
          <w:color w:val="000000" w:themeColor="text1"/>
          <w:sz w:val="24"/>
          <w:szCs w:val="24"/>
          <w14:textFill>
            <w14:solidFill>
              <w14:schemeClr w14:val="tx1"/>
            </w14:solidFill>
          </w14:textFill>
        </w:rPr>
        <w:t>备注</w:t>
      </w:r>
      <w:r>
        <w:rPr>
          <w:rFonts w:hint="eastAsia" w:ascii="方正仿宋简体" w:hAnsi="方正仿宋简体" w:eastAsia="方正仿宋简体" w:cs="方正仿宋简体"/>
          <w:color w:val="000000" w:themeColor="text1"/>
          <w:sz w:val="24"/>
          <w:szCs w:val="24"/>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24"/>
          <w:szCs w:val="24"/>
          <w14:textFill>
            <w14:solidFill>
              <w14:schemeClr w14:val="tx1"/>
            </w14:solidFill>
          </w14:textFill>
        </w:rPr>
        <w:t>报名表论证开始前现场提交</w:t>
      </w:r>
    </w:p>
    <w:p w14:paraId="73AC03BB">
      <w:pPr>
        <w:pStyle w:val="20"/>
        <w:keepNext w:val="0"/>
        <w:keepLines w:val="0"/>
        <w:pageBreakBefore w:val="0"/>
        <w:widowControl w:val="0"/>
        <w:numPr>
          <w:ilvl w:val="0"/>
          <w:numId w:val="5"/>
        </w:numPr>
        <w:kinsoku/>
        <w:wordWrap/>
        <w:overflowPunct/>
        <w:topLinePunct w:val="0"/>
        <w:autoSpaceDE/>
        <w:autoSpaceDN/>
        <w:bidi w:val="0"/>
        <w:adjustRightInd/>
        <w:snapToGrid/>
        <w:spacing w:line="440" w:lineRule="exact"/>
        <w:ind w:firstLine="480" w:firstLineChars="200"/>
        <w:textAlignment w:val="auto"/>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参与论证的供应商报名当天提交电子版设备论证清单，填写所投产品品牌及型号，表格样式见附后EXCEL表。</w:t>
      </w:r>
    </w:p>
    <w:p w14:paraId="39798ED2">
      <w:pPr>
        <w:pStyle w:val="20"/>
        <w:keepNext w:val="0"/>
        <w:keepLines w:val="0"/>
        <w:pageBreakBefore w:val="0"/>
        <w:widowControl w:val="0"/>
        <w:numPr>
          <w:numId w:val="0"/>
        </w:numPr>
        <w:kinsoku/>
        <w:wordWrap/>
        <w:overflowPunct/>
        <w:topLinePunct w:val="0"/>
        <w:autoSpaceDE/>
        <w:autoSpaceDN/>
        <w:bidi w:val="0"/>
        <w:adjustRightInd/>
        <w:snapToGrid/>
        <w:spacing w:line="440" w:lineRule="exact"/>
        <w:textAlignment w:val="auto"/>
        <w:rPr>
          <w:rFonts w:hint="default" w:ascii="方正仿宋简体" w:hAnsi="方正仿宋简体" w:eastAsia="方正仿宋简体" w:cs="方正仿宋简体"/>
          <w:b/>
          <w:bCs/>
          <w:color w:val="FF0000"/>
          <w:sz w:val="24"/>
          <w:szCs w:val="24"/>
          <w:lang w:val="en-US" w:eastAsia="zh-CN"/>
        </w:rPr>
      </w:pPr>
    </w:p>
    <w:p w14:paraId="2C6D6E17">
      <w:pPr>
        <w:keepNext w:val="0"/>
        <w:keepLines w:val="0"/>
        <w:pageBreakBefore w:val="0"/>
        <w:widowControl w:val="0"/>
        <w:numPr>
          <w:ilvl w:val="0"/>
          <w:numId w:val="4"/>
        </w:numPr>
        <w:kinsoku/>
        <w:wordWrap/>
        <w:overflowPunct/>
        <w:topLinePunct w:val="0"/>
        <w:autoSpaceDE/>
        <w:autoSpaceDN/>
        <w:bidi w:val="0"/>
        <w:adjustRightInd/>
        <w:snapToGrid/>
        <w:spacing w:before="156" w:beforeLines="50" w:after="156" w:afterLines="50" w:line="440" w:lineRule="exact"/>
        <w:textAlignment w:val="auto"/>
        <w:outlineLvl w:val="9"/>
        <w:rPr>
          <w:rFonts w:hint="eastAsia" w:ascii="方正仿宋简体" w:hAnsi="方正仿宋简体" w:eastAsia="方正仿宋简体" w:cs="方正仿宋简体"/>
          <w:b/>
          <w:bCs/>
          <w:color w:val="000000" w:themeColor="text1"/>
          <w:sz w:val="24"/>
          <w:szCs w:val="24"/>
          <w14:textFill>
            <w14:solidFill>
              <w14:schemeClr w14:val="tx1"/>
            </w14:solidFill>
          </w14:textFill>
        </w:rPr>
      </w:pPr>
      <w:r>
        <w:rPr>
          <w:rFonts w:hint="eastAsia" w:ascii="方正仿宋简体" w:hAnsi="方正仿宋简体" w:eastAsia="方正仿宋简体" w:cs="方正仿宋简体"/>
          <w:b/>
          <w:bCs/>
          <w:color w:val="000000" w:themeColor="text1"/>
          <w:sz w:val="24"/>
          <w:szCs w:val="24"/>
          <w14:textFill>
            <w14:solidFill>
              <w14:schemeClr w14:val="tx1"/>
            </w14:solidFill>
          </w14:textFill>
        </w:rPr>
        <w:t>时间</w:t>
      </w:r>
    </w:p>
    <w:p w14:paraId="4C58ECAE">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440" w:lineRule="exact"/>
        <w:textAlignment w:val="auto"/>
        <w:outlineLvl w:val="9"/>
        <w:rPr>
          <w:rFonts w:hint="eastAsia" w:ascii="方正仿宋简体" w:hAnsi="方正仿宋简体" w:eastAsia="方正仿宋简体" w:cs="方正仿宋简体"/>
          <w:color w:val="auto"/>
          <w:kern w:val="2"/>
          <w:sz w:val="24"/>
          <w:szCs w:val="24"/>
          <w:highlight w:val="none"/>
          <w:lang w:val="en-US" w:eastAsia="zh-CN" w:bidi="ar-SA"/>
        </w:rPr>
      </w:pPr>
      <w:r>
        <w:rPr>
          <w:rFonts w:hint="eastAsia" w:ascii="方正仿宋简体" w:hAnsi="方正仿宋简体" w:eastAsia="方正仿宋简体" w:cs="方正仿宋简体"/>
          <w:color w:val="000000" w:themeColor="text1"/>
          <w:kern w:val="2"/>
          <w:sz w:val="24"/>
          <w:szCs w:val="24"/>
          <w:highlight w:val="none"/>
          <w:lang w:val="en-US" w:eastAsia="zh-CN" w:bidi="ar-SA"/>
          <w14:textFill>
            <w14:solidFill>
              <w14:schemeClr w14:val="tx1"/>
            </w14:solidFill>
          </w14:textFill>
        </w:rPr>
        <w:t>1、发</w:t>
      </w:r>
      <w:r>
        <w:rPr>
          <w:rFonts w:hint="eastAsia" w:ascii="方正仿宋简体" w:hAnsi="方正仿宋简体" w:eastAsia="方正仿宋简体" w:cs="方正仿宋简体"/>
          <w:color w:val="auto"/>
          <w:kern w:val="2"/>
          <w:sz w:val="24"/>
          <w:szCs w:val="24"/>
          <w:highlight w:val="none"/>
          <w:lang w:val="en-US" w:eastAsia="zh-CN" w:bidi="ar-SA"/>
        </w:rPr>
        <w:t>布时间：</w:t>
      </w:r>
      <w:r>
        <w:rPr>
          <w:rFonts w:hint="eastAsia" w:ascii="方正仿宋简体" w:hAnsi="方正仿宋简体" w:eastAsia="方正仿宋简体" w:cs="方正仿宋简体"/>
          <w:b/>
          <w:bCs/>
          <w:color w:val="FF0000"/>
          <w:kern w:val="2"/>
          <w:sz w:val="24"/>
          <w:szCs w:val="24"/>
          <w:highlight w:val="none"/>
          <w:lang w:val="en-US" w:eastAsia="zh-CN" w:bidi="ar-SA"/>
        </w:rPr>
        <w:t>2026年7月16日（星期四）</w:t>
      </w:r>
    </w:p>
    <w:p w14:paraId="71312220">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default" w:ascii="方正仿宋简体" w:hAnsi="方正仿宋简体" w:eastAsia="方正仿宋简体" w:cs="方正仿宋简体"/>
          <w:color w:val="auto"/>
          <w:kern w:val="2"/>
          <w:sz w:val="24"/>
          <w:szCs w:val="24"/>
          <w:highlight w:val="none"/>
          <w:lang w:val="en-US" w:eastAsia="zh-CN" w:bidi="ar-SA"/>
        </w:rPr>
      </w:pPr>
      <w:r>
        <w:rPr>
          <w:rFonts w:hint="eastAsia" w:ascii="方正仿宋简体" w:hAnsi="方正仿宋简体" w:eastAsia="方正仿宋简体" w:cs="方正仿宋简体"/>
          <w:color w:val="auto"/>
          <w:kern w:val="2"/>
          <w:sz w:val="24"/>
          <w:szCs w:val="24"/>
          <w:highlight w:val="none"/>
          <w:lang w:val="en-US" w:eastAsia="zh-CN" w:bidi="ar-SA"/>
        </w:rPr>
        <w:t>2、论证时间：</w:t>
      </w:r>
      <w:r>
        <w:rPr>
          <w:rFonts w:hint="eastAsia" w:ascii="方正仿宋简体" w:hAnsi="方正仿宋简体" w:eastAsia="方正仿宋简体" w:cs="方正仿宋简体"/>
          <w:b/>
          <w:bCs/>
          <w:color w:val="FF0000"/>
          <w:kern w:val="2"/>
          <w:sz w:val="24"/>
          <w:szCs w:val="24"/>
          <w:highlight w:val="none"/>
          <w:lang w:val="en-US" w:eastAsia="zh-CN" w:bidi="ar-SA"/>
        </w:rPr>
        <w:t>2026年7月23日（星期四）上午09：30开始</w:t>
      </w:r>
      <w:bookmarkStart w:id="3" w:name="_GoBack"/>
      <w:bookmarkEnd w:id="3"/>
    </w:p>
    <w:p w14:paraId="2B61E595">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b/>
          <w:bCs/>
          <w:sz w:val="24"/>
          <w:szCs w:val="24"/>
          <w:lang w:eastAsia="zh-CN"/>
        </w:rPr>
      </w:pPr>
      <w:r>
        <w:rPr>
          <w:rFonts w:hint="eastAsia" w:ascii="方正仿宋简体" w:hAnsi="方正仿宋简体" w:eastAsia="方正仿宋简体" w:cs="方正仿宋简体"/>
          <w:b/>
          <w:bCs/>
          <w:sz w:val="24"/>
          <w:szCs w:val="24"/>
          <w:lang w:eastAsia="zh-CN"/>
        </w:rPr>
        <w:t>六、论证</w:t>
      </w:r>
      <w:r>
        <w:rPr>
          <w:rFonts w:hint="eastAsia" w:ascii="方正仿宋简体" w:hAnsi="方正仿宋简体" w:eastAsia="方正仿宋简体" w:cs="方正仿宋简体"/>
          <w:b/>
          <w:bCs/>
          <w:sz w:val="24"/>
          <w:szCs w:val="24"/>
        </w:rPr>
        <w:t>项目</w:t>
      </w:r>
    </w:p>
    <w:p w14:paraId="68CDBE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简体" w:hAnsi="方正仿宋简体" w:eastAsia="方正仿宋简体" w:cs="方正仿宋简体"/>
          <w:b/>
          <w:bCs/>
          <w:color w:val="auto"/>
          <w:sz w:val="24"/>
          <w:szCs w:val="24"/>
          <w:lang w:val="en-US" w:eastAsia="zh-CN"/>
        </w:rPr>
      </w:pPr>
      <w:r>
        <w:rPr>
          <w:rFonts w:hint="eastAsia" w:ascii="方正仿宋简体" w:hAnsi="方正仿宋简体" w:eastAsia="方正仿宋简体" w:cs="方正仿宋简体"/>
          <w:b/>
          <w:bCs/>
          <w:color w:val="auto"/>
          <w:sz w:val="24"/>
          <w:szCs w:val="24"/>
          <w:lang w:val="en-US" w:eastAsia="zh-CN"/>
        </w:rPr>
        <w:t>包1：医用电子生理参数检测仪器设备</w:t>
      </w:r>
    </w:p>
    <w:tbl>
      <w:tblPr>
        <w:tblStyle w:val="17"/>
        <w:tblW w:w="10705" w:type="dxa"/>
        <w:tblInd w:w="-4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3278"/>
        <w:gridCol w:w="3938"/>
        <w:gridCol w:w="1377"/>
        <w:gridCol w:w="1400"/>
      </w:tblGrid>
      <w:tr w14:paraId="15F13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exact"/>
        </w:trPr>
        <w:tc>
          <w:tcPr>
            <w:tcW w:w="712" w:type="dxa"/>
            <w:tcBorders>
              <w:top w:val="single" w:color="auto" w:sz="4" w:space="0"/>
              <w:left w:val="single" w:color="auto" w:sz="4" w:space="0"/>
              <w:bottom w:val="single" w:color="auto" w:sz="4" w:space="0"/>
              <w:right w:val="single" w:color="000000" w:sz="4" w:space="0"/>
            </w:tcBorders>
            <w:shd w:val="clear" w:color="auto" w:fill="auto"/>
            <w:vAlign w:val="center"/>
          </w:tcPr>
          <w:p w14:paraId="4DE48E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序号</w:t>
            </w:r>
          </w:p>
        </w:tc>
        <w:tc>
          <w:tcPr>
            <w:tcW w:w="3278" w:type="dxa"/>
            <w:tcBorders>
              <w:top w:val="single" w:color="auto" w:sz="4" w:space="0"/>
              <w:left w:val="single" w:color="000000" w:sz="4" w:space="0"/>
              <w:bottom w:val="single" w:color="auto" w:sz="4" w:space="0"/>
              <w:right w:val="single" w:color="auto" w:sz="4" w:space="0"/>
            </w:tcBorders>
            <w:shd w:val="clear" w:color="auto" w:fill="auto"/>
            <w:vAlign w:val="center"/>
          </w:tcPr>
          <w:p w14:paraId="4145D8E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科室</w:t>
            </w:r>
          </w:p>
        </w:tc>
        <w:tc>
          <w:tcPr>
            <w:tcW w:w="3938" w:type="dxa"/>
            <w:tcBorders>
              <w:top w:val="single" w:color="auto" w:sz="4" w:space="0"/>
              <w:left w:val="single" w:color="000000" w:sz="4" w:space="0"/>
              <w:bottom w:val="single" w:color="auto" w:sz="4" w:space="0"/>
              <w:right w:val="single" w:color="auto" w:sz="4" w:space="0"/>
            </w:tcBorders>
            <w:shd w:val="clear" w:color="auto" w:fill="auto"/>
            <w:vAlign w:val="center"/>
          </w:tcPr>
          <w:p w14:paraId="49D45B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设备名称</w:t>
            </w:r>
          </w:p>
        </w:tc>
        <w:tc>
          <w:tcPr>
            <w:tcW w:w="1377" w:type="dxa"/>
            <w:tcBorders>
              <w:top w:val="single" w:color="auto" w:sz="4" w:space="0"/>
              <w:left w:val="single" w:color="auto" w:sz="4" w:space="0"/>
              <w:bottom w:val="single" w:color="000000" w:sz="4" w:space="0"/>
              <w:right w:val="single" w:color="auto" w:sz="4" w:space="0"/>
            </w:tcBorders>
            <w:shd w:val="clear" w:color="auto" w:fill="auto"/>
            <w:vAlign w:val="center"/>
          </w:tcPr>
          <w:p w14:paraId="35972C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需求数量    （台、套）</w:t>
            </w:r>
          </w:p>
        </w:tc>
        <w:tc>
          <w:tcPr>
            <w:tcW w:w="1400" w:type="dxa"/>
            <w:tcBorders>
              <w:top w:val="single" w:color="auto" w:sz="4" w:space="0"/>
              <w:left w:val="single" w:color="auto" w:sz="4" w:space="0"/>
              <w:bottom w:val="single" w:color="000000" w:sz="4" w:space="0"/>
              <w:right w:val="single" w:color="auto" w:sz="4" w:space="0"/>
            </w:tcBorders>
            <w:shd w:val="clear" w:color="auto" w:fill="auto"/>
            <w:vAlign w:val="center"/>
          </w:tcPr>
          <w:p w14:paraId="076EBF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预算价格  （万元）</w:t>
            </w:r>
          </w:p>
        </w:tc>
      </w:tr>
      <w:tr w14:paraId="115C3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2CC160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24D8ED2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计生及妇科门诊手术室</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51164B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心电监护仪</w:t>
            </w:r>
          </w:p>
          <w:p w14:paraId="3638819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2"/>
                <w:szCs w:val="22"/>
                <w:u w:val="none"/>
                <w:lang w:val="en-US" w:eastAsia="zh-CN" w:bidi="ar"/>
              </w:rPr>
              <w:t>（含二氧化碳模块，中央工作站）</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128A2A3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10</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2B15111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90</w:t>
            </w:r>
          </w:p>
        </w:tc>
      </w:tr>
      <w:tr w14:paraId="0FEA6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exact"/>
        </w:trPr>
        <w:tc>
          <w:tcPr>
            <w:tcW w:w="712" w:type="dxa"/>
            <w:tcBorders>
              <w:left w:val="single" w:color="auto" w:sz="4" w:space="0"/>
              <w:bottom w:val="single" w:color="auto" w:sz="4" w:space="0"/>
              <w:right w:val="single" w:color="auto" w:sz="4" w:space="0"/>
            </w:tcBorders>
            <w:shd w:val="clear" w:color="auto" w:fill="auto"/>
            <w:vAlign w:val="center"/>
          </w:tcPr>
          <w:p w14:paraId="3EC7FCC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3A49F9E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w w:val="9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产房2台、</w:t>
            </w:r>
            <w:r>
              <w:rPr>
                <w:rFonts w:hint="eastAsia" w:ascii="方正仿宋简体" w:hAnsi="方正仿宋简体" w:eastAsia="方正仿宋简体" w:cs="方正仿宋简体"/>
                <w:i w:val="0"/>
                <w:iCs w:val="0"/>
                <w:color w:val="000000"/>
                <w:w w:val="90"/>
                <w:kern w:val="0"/>
                <w:sz w:val="24"/>
                <w:szCs w:val="24"/>
                <w:u w:val="none"/>
                <w:lang w:val="en-US" w:eastAsia="zh-CN" w:bidi="ar"/>
              </w:rPr>
              <w:t>LDRP病区</w:t>
            </w:r>
            <w:r>
              <w:rPr>
                <w:rFonts w:hint="eastAsia" w:ascii="方正仿宋简体" w:hAnsi="方正仿宋简体" w:eastAsia="方正仿宋简体" w:cs="方正仿宋简体"/>
                <w:i w:val="0"/>
                <w:iCs w:val="0"/>
                <w:color w:val="000000"/>
                <w:kern w:val="0"/>
                <w:sz w:val="24"/>
                <w:szCs w:val="24"/>
                <w:u w:val="none"/>
                <w:lang w:val="en-US" w:eastAsia="zh-CN" w:bidi="ar"/>
              </w:rPr>
              <w:t xml:space="preserve">6 </w:t>
            </w:r>
            <w:r>
              <w:rPr>
                <w:rFonts w:hint="eastAsia" w:ascii="方正仿宋简体" w:hAnsi="方正仿宋简体" w:eastAsia="方正仿宋简体" w:cs="方正仿宋简体"/>
                <w:i w:val="0"/>
                <w:iCs w:val="0"/>
                <w:color w:val="000000"/>
                <w:w w:val="90"/>
                <w:kern w:val="0"/>
                <w:sz w:val="24"/>
                <w:szCs w:val="24"/>
                <w:u w:val="none"/>
                <w:lang w:val="en-US" w:eastAsia="zh-CN" w:bidi="ar"/>
              </w:rPr>
              <w:t>台、</w:t>
            </w:r>
          </w:p>
          <w:p w14:paraId="62D9C3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w w:val="90"/>
                <w:kern w:val="0"/>
                <w:sz w:val="24"/>
                <w:szCs w:val="24"/>
                <w:u w:val="none"/>
                <w:lang w:val="en-US" w:eastAsia="zh-CN" w:bidi="ar"/>
              </w:rPr>
              <w:t>产后病区</w:t>
            </w:r>
            <w:r>
              <w:rPr>
                <w:rFonts w:hint="eastAsia" w:ascii="方正仿宋简体" w:hAnsi="方正仿宋简体" w:eastAsia="方正仿宋简体" w:cs="方正仿宋简体"/>
                <w:i w:val="0"/>
                <w:iCs w:val="0"/>
                <w:color w:val="000000"/>
                <w:kern w:val="0"/>
                <w:sz w:val="24"/>
                <w:szCs w:val="24"/>
                <w:u w:val="none"/>
                <w:lang w:val="en-US" w:eastAsia="zh-CN" w:bidi="ar"/>
              </w:rPr>
              <w:t>4</w:t>
            </w:r>
            <w:r>
              <w:rPr>
                <w:rFonts w:hint="eastAsia" w:ascii="方正仿宋简体" w:hAnsi="方正仿宋简体" w:eastAsia="方正仿宋简体" w:cs="方正仿宋简体"/>
                <w:i w:val="0"/>
                <w:iCs w:val="0"/>
                <w:color w:val="000000"/>
                <w:w w:val="90"/>
                <w:kern w:val="0"/>
                <w:sz w:val="24"/>
                <w:szCs w:val="24"/>
                <w:u w:val="none"/>
                <w:lang w:val="en-US" w:eastAsia="zh-CN" w:bidi="ar"/>
              </w:rPr>
              <w:t>台、</w:t>
            </w:r>
            <w:r>
              <w:rPr>
                <w:rFonts w:hint="eastAsia" w:ascii="方正仿宋简体" w:hAnsi="方正仿宋简体" w:eastAsia="方正仿宋简体" w:cs="方正仿宋简体"/>
                <w:i w:val="0"/>
                <w:iCs w:val="0"/>
                <w:color w:val="000000"/>
                <w:kern w:val="0"/>
                <w:sz w:val="24"/>
                <w:szCs w:val="24"/>
                <w:u w:val="none"/>
                <w:lang w:val="en-US" w:eastAsia="zh-CN" w:bidi="ar"/>
              </w:rPr>
              <w:t>儿科10台</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16949C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新生儿监护仪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55227141">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22</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26939CC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21.56</w:t>
            </w:r>
          </w:p>
        </w:tc>
      </w:tr>
      <w:tr w14:paraId="4B455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6D7D6C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3</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4B01FFAD">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产科门诊1套、产房1套</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301403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胎心监护专家分析系统</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57EE45E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2E4088E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36</w:t>
            </w:r>
          </w:p>
        </w:tc>
      </w:tr>
      <w:tr w14:paraId="1E18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1F318A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4</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305548C7">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产科门诊</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049615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胎心监护工作站</w:t>
            </w:r>
            <w:r>
              <w:rPr>
                <w:rFonts w:hint="eastAsia" w:ascii="方正仿宋简体" w:hAnsi="方正仿宋简体" w:eastAsia="方正仿宋简体" w:cs="方正仿宋简体"/>
                <w:i w:val="0"/>
                <w:iCs w:val="0"/>
                <w:color w:val="000000"/>
                <w:kern w:val="0"/>
                <w:sz w:val="22"/>
                <w:szCs w:val="22"/>
                <w:u w:val="none"/>
                <w:lang w:val="en-US" w:eastAsia="zh-CN" w:bidi="ar"/>
              </w:rPr>
              <w:t>（配套中央站）</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27A934DE">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7CEA32C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70</w:t>
            </w:r>
          </w:p>
        </w:tc>
      </w:tr>
      <w:tr w14:paraId="45108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47C0CF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5</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55C9223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产科门诊</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78D271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双胎监护仪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63D08CD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070889E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9</w:t>
            </w:r>
          </w:p>
        </w:tc>
      </w:tr>
      <w:tr w14:paraId="5BFA3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64803C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kern w:val="2"/>
                <w:sz w:val="24"/>
                <w:szCs w:val="24"/>
                <w:u w:val="none"/>
                <w:lang w:val="en-US" w:eastAsia="zh-CN" w:bidi="ar-SA"/>
              </w:rPr>
              <w:t>6</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03E59F48">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highlight w:val="none"/>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产科门诊</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4AFE0B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胎心监护仪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532F4BF5">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21F7DBC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16</w:t>
            </w:r>
          </w:p>
        </w:tc>
      </w:tr>
      <w:tr w14:paraId="2E030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45B1496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7</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40BB06C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产房2台、产前病区2台</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194AC5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双胎监护仪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52DCD4C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2E11A89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11.92</w:t>
            </w:r>
          </w:p>
        </w:tc>
      </w:tr>
      <w:tr w14:paraId="177C5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531C545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8</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01F30E6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ICU 2台、产前病区6台</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4A254E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胎心监护仪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5E0FD81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8</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3B1AE55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32</w:t>
            </w:r>
          </w:p>
        </w:tc>
      </w:tr>
      <w:tr w14:paraId="17D39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63E40C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9</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1291B42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748692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肌松监测仪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2A420F1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64FC58C3">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r>
      <w:tr w14:paraId="71361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7A8432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10</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5AE1DB9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手术室1台、ICU 1台</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6404B2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脑氧监测仪</w:t>
            </w:r>
            <w:r>
              <w:rPr>
                <w:rFonts w:hint="eastAsia" w:ascii="方正仿宋简体" w:hAnsi="方正仿宋简体" w:eastAsia="方正仿宋简体" w:cs="方正仿宋简体"/>
                <w:i w:val="0"/>
                <w:iCs w:val="0"/>
                <w:color w:val="000000"/>
                <w:kern w:val="0"/>
                <w:sz w:val="22"/>
                <w:szCs w:val="22"/>
                <w:u w:val="none"/>
                <w:lang w:val="en-US" w:eastAsia="zh-CN" w:bidi="ar"/>
              </w:rPr>
              <w:t>（配套耗材项目）</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56F8439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4B67311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48</w:t>
            </w:r>
          </w:p>
        </w:tc>
      </w:tr>
      <w:tr w14:paraId="386FA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60EA6E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11</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796DEB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新生儿科</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01C147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氧气浓度监测仪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5C420DE7">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3521CF9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0.8</w:t>
            </w:r>
          </w:p>
        </w:tc>
      </w:tr>
      <w:tr w14:paraId="3A0ED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53382C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12</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04D2690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新生儿科</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63456E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超声无创血流动力学监测仪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6C158BC6">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747A4DF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15</w:t>
            </w:r>
          </w:p>
        </w:tc>
      </w:tr>
      <w:tr w14:paraId="60747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711309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13</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6772E6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LDRP病区2台、新生儿科2台、产后病区4台、妇保设备-听力2台</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6A6E00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耳声发射仪（听力筛查仪）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2D9D412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10</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70BB166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40.8</w:t>
            </w:r>
          </w:p>
        </w:tc>
      </w:tr>
      <w:tr w14:paraId="79940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2552DF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14</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4779EF2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儿科PICU病区</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58E49B2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无创心功能监测</w:t>
            </w:r>
            <w:r>
              <w:rPr>
                <w:rFonts w:hint="eastAsia" w:ascii="方正仿宋简体" w:hAnsi="方正仿宋简体" w:eastAsia="方正仿宋简体" w:cs="方正仿宋简体"/>
                <w:i w:val="0"/>
                <w:iCs w:val="0"/>
                <w:color w:val="000000"/>
                <w:kern w:val="0"/>
                <w:sz w:val="22"/>
                <w:szCs w:val="22"/>
                <w:u w:val="none"/>
                <w:lang w:val="en-US" w:eastAsia="zh-CN" w:bidi="ar"/>
              </w:rPr>
              <w:t>（配套耗材）</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0071E49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2E2F508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r>
      <w:tr w14:paraId="729F0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62C4157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15</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317D601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儿科4台、妇保设备-儿童保健部1台、儿科PICU病区2台、成人综合门诊1台、一站式服务中心1台</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5DE641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血氧饱和度检测仪（脉氧仪）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638B293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9</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52C7584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4.05</w:t>
            </w:r>
          </w:p>
        </w:tc>
      </w:tr>
      <w:tr w14:paraId="2F255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1C7816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16</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17DEE52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儿科</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4F2D22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肺功能仪</w:t>
            </w:r>
            <w:r>
              <w:rPr>
                <w:rFonts w:hint="eastAsia" w:ascii="方正仿宋简体" w:hAnsi="方正仿宋简体" w:eastAsia="方正仿宋简体" w:cs="方正仿宋简体"/>
                <w:i w:val="0"/>
                <w:iCs w:val="0"/>
                <w:color w:val="000000"/>
                <w:kern w:val="0"/>
                <w:sz w:val="22"/>
                <w:szCs w:val="22"/>
                <w:u w:val="none"/>
                <w:lang w:val="en-US" w:eastAsia="zh-CN" w:bidi="ar"/>
              </w:rPr>
              <w:t>（配套耗材）</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7625FF8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69D314D3">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25</w:t>
            </w:r>
          </w:p>
        </w:tc>
      </w:tr>
      <w:tr w14:paraId="4BBD3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10E0AA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17</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222D8BEB">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全院</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7C35F2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血糖仪</w:t>
            </w:r>
            <w:r>
              <w:rPr>
                <w:rFonts w:hint="eastAsia" w:ascii="方正仿宋简体" w:hAnsi="方正仿宋简体" w:eastAsia="方正仿宋简体" w:cs="方正仿宋简体"/>
                <w:i w:val="0"/>
                <w:iCs w:val="0"/>
                <w:color w:val="000000"/>
                <w:kern w:val="0"/>
                <w:sz w:val="22"/>
                <w:szCs w:val="22"/>
                <w:u w:val="none"/>
                <w:lang w:val="en-US" w:eastAsia="zh-CN" w:bidi="ar"/>
              </w:rPr>
              <w:t>（配套耗材项目）</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16CC17B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50</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6A2DBA4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2.5</w:t>
            </w:r>
          </w:p>
        </w:tc>
      </w:tr>
      <w:tr w14:paraId="3C161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3328FF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18</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2E4C0E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妇保设备-儿童保健部</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559CD7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便携式骨龄仪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75024FAD">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3C6D0FA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50</w:t>
            </w:r>
          </w:p>
        </w:tc>
      </w:tr>
      <w:tr w14:paraId="6E168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2223B6A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19</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4A4D783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急诊</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2777EB9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洗胃机</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3EE584D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77EB7D9D">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0.95</w:t>
            </w:r>
          </w:p>
        </w:tc>
      </w:tr>
      <w:tr w14:paraId="6E864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15CCD4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20</w:t>
            </w:r>
          </w:p>
        </w:tc>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24EEDF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血管通路门诊1台、妇科1台</w:t>
            </w:r>
          </w:p>
        </w:tc>
        <w:tc>
          <w:tcPr>
            <w:tcW w:w="3938" w:type="dxa"/>
            <w:tcBorders>
              <w:top w:val="single" w:color="auto" w:sz="4" w:space="0"/>
              <w:left w:val="single" w:color="auto" w:sz="4" w:space="0"/>
              <w:bottom w:val="single" w:color="auto" w:sz="4" w:space="0"/>
              <w:right w:val="single" w:color="auto" w:sz="4" w:space="0"/>
            </w:tcBorders>
            <w:shd w:val="clear" w:color="auto" w:fill="auto"/>
            <w:vAlign w:val="center"/>
          </w:tcPr>
          <w:p w14:paraId="6AE3DC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心电多普勒超声检测仪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0CC8106B">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2BD496F7">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29</w:t>
            </w:r>
          </w:p>
        </w:tc>
      </w:tr>
    </w:tbl>
    <w:p w14:paraId="1F0F3C1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序号1、计生及妇科门诊手术室-心电监护仪</w:t>
      </w:r>
      <w:r>
        <w:rPr>
          <w:rFonts w:hint="eastAsia" w:ascii="方正仿宋简体" w:hAnsi="方正仿宋简体" w:eastAsia="方正仿宋简体" w:cs="方正仿宋简体"/>
          <w:b/>
          <w:bCs/>
          <w:color w:val="auto"/>
          <w:kern w:val="2"/>
          <w:sz w:val="24"/>
          <w:szCs w:val="24"/>
          <w:highlight w:val="none"/>
          <w:lang w:val="en-US" w:eastAsia="zh-CN" w:bidi="ar-SA"/>
        </w:rPr>
        <w:t>（含二氧化碳模块，中央工作站）</w:t>
      </w:r>
      <w:r>
        <w:rPr>
          <w:rFonts w:hint="eastAsia" w:ascii="方正仿宋简体" w:hAnsi="方正仿宋简体" w:eastAsia="方正仿宋简体" w:cs="方正仿宋简体"/>
          <w:b/>
          <w:bCs/>
          <w:color w:val="auto"/>
          <w:kern w:val="2"/>
          <w:sz w:val="28"/>
          <w:szCs w:val="28"/>
          <w:highlight w:val="none"/>
          <w:lang w:val="en-US" w:eastAsia="zh-CN" w:bidi="ar-SA"/>
        </w:rPr>
        <w:t>功能用途：</w:t>
      </w:r>
    </w:p>
    <w:p w14:paraId="5B8E2C1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实时、连续监测手术中患者的生命体征，如心电、血压、血氧、呼吸、体温等，保障患者安全。</w:t>
      </w:r>
    </w:p>
    <w:p w14:paraId="363B63A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DD69E4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监护仪≥17英寸触摸屏；可监测参数：ECG、NIBP、SpO₂、Resp、Temp等；支持有创血压监测；中央站可实现最多16-32台床旁机数据集中显示、报警和管理，中央站配1个中央大屏显示器，根据场地匹配屏幕尺寸。</w:t>
      </w:r>
    </w:p>
    <w:p w14:paraId="3BA66F5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设备配置需求：</w:t>
      </w:r>
    </w:p>
    <w:p w14:paraId="46976824">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需配套血氧探头、血压袖带、双有创监测模块，配体温探头，呼吸末二氧化碳监测模块、BIS监测模块、PPV、PI。</w:t>
      </w:r>
    </w:p>
    <w:p w14:paraId="6E00965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序号2、产房、LDRP病区、产后病区、儿科-新生儿监护仪功能用途：</w:t>
      </w:r>
    </w:p>
    <w:p w14:paraId="7D28064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用于NICU及产房新生儿生命体征监测，可实时显示心电、呼吸、血氧、无创血压、体温等参数，</w:t>
      </w:r>
      <w:r>
        <w:rPr>
          <w:rFonts w:hint="eastAsia" w:ascii="方正仿宋简体" w:hAnsi="方正仿宋简体" w:eastAsia="方正仿宋简体" w:cs="方正仿宋简体"/>
          <w:b w:val="0"/>
          <w:bCs w:val="0"/>
          <w:color w:val="auto"/>
          <w:kern w:val="2"/>
          <w:sz w:val="24"/>
          <w:szCs w:val="24"/>
          <w:highlight w:val="none"/>
          <w:lang w:val="en-US" w:eastAsia="zh-CN" w:bidi="ar-SA"/>
        </w:rPr>
        <w:t>，具备新生儿专用模式及</w:t>
      </w:r>
      <w:r>
        <w:rPr>
          <w:rFonts w:hint="eastAsia" w:ascii="方正仿宋简体" w:hAnsi="方正仿宋简体" w:eastAsia="方正仿宋简体" w:cs="方正仿宋简体"/>
          <w:b w:val="0"/>
          <w:bCs w:val="0"/>
          <w:color w:val="auto"/>
          <w:kern w:val="2"/>
          <w:sz w:val="24"/>
          <w:szCs w:val="24"/>
          <w:lang w:val="en-US" w:eastAsia="zh-CN" w:bidi="ar-SA"/>
        </w:rPr>
        <w:t>心律失常分析和呼吸暂停报警功能，保障危重新生儿安全。</w:t>
      </w:r>
    </w:p>
    <w:p w14:paraId="30E3996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24F4294">
      <w:pPr>
        <w:keepNext w:val="0"/>
        <w:keepLines w:val="0"/>
        <w:pageBreakBefore w:val="0"/>
        <w:widowControl/>
        <w:numPr>
          <w:ilvl w:val="0"/>
          <w:numId w:val="6"/>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显示屏≥12英寸，支持新生儿专用监测模式；</w:t>
      </w:r>
    </w:p>
    <w:p w14:paraId="648CD44F">
      <w:pPr>
        <w:keepNext w:val="0"/>
        <w:keepLines w:val="0"/>
        <w:pageBreakBefore w:val="0"/>
        <w:widowControl/>
        <w:numPr>
          <w:ilvl w:val="0"/>
          <w:numId w:val="6"/>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心电监测范围：15～350 bpm，</w:t>
      </w:r>
      <w:r>
        <w:rPr>
          <w:rFonts w:hint="eastAsia" w:ascii="方正仿宋简体" w:hAnsi="方正仿宋简体" w:eastAsia="方正仿宋简体" w:cs="方正仿宋简体"/>
          <w:b w:val="0"/>
          <w:bCs w:val="0"/>
          <w:color w:val="auto"/>
          <w:kern w:val="2"/>
          <w:sz w:val="24"/>
          <w:szCs w:val="24"/>
          <w:lang w:val="en-US" w:eastAsia="zh-CN" w:bidi="ar-SA"/>
        </w:rPr>
        <w:t>血氧饱和度0-100%（误差±2%），呼吸率0-150rpm，</w:t>
      </w:r>
      <w:r>
        <w:rPr>
          <w:rFonts w:hint="eastAsia" w:ascii="方正仿宋简体" w:hAnsi="方正仿宋简体" w:eastAsia="方正仿宋简体" w:cs="方正仿宋简体"/>
          <w:b w:val="0"/>
          <w:bCs w:val="0"/>
          <w:color w:val="auto"/>
          <w:kern w:val="2"/>
          <w:sz w:val="24"/>
          <w:szCs w:val="24"/>
          <w:highlight w:val="none"/>
          <w:lang w:val="en-US" w:eastAsia="zh-CN" w:bidi="ar-SA"/>
        </w:rPr>
        <w:t>3/5导可选，</w:t>
      </w:r>
      <w:r>
        <w:rPr>
          <w:rFonts w:hint="eastAsia" w:ascii="方正仿宋简体" w:hAnsi="方正仿宋简体" w:eastAsia="方正仿宋简体" w:cs="方正仿宋简体"/>
          <w:b w:val="0"/>
          <w:bCs w:val="0"/>
          <w:color w:val="auto"/>
          <w:kern w:val="2"/>
          <w:sz w:val="24"/>
          <w:szCs w:val="24"/>
          <w:lang w:val="en-US" w:eastAsia="zh-CN" w:bidi="ar-SA"/>
        </w:rPr>
        <w:t>具备呼吸暂停报警功能（5-120秒可调），</w:t>
      </w:r>
      <w:r>
        <w:rPr>
          <w:rFonts w:hint="eastAsia" w:ascii="方正仿宋简体" w:hAnsi="方正仿宋简体" w:eastAsia="方正仿宋简体" w:cs="方正仿宋简体"/>
          <w:b w:val="0"/>
          <w:bCs w:val="0"/>
          <w:color w:val="auto"/>
          <w:kern w:val="2"/>
          <w:sz w:val="24"/>
          <w:szCs w:val="24"/>
          <w:highlight w:val="none"/>
          <w:lang w:val="en-US" w:eastAsia="zh-CN" w:bidi="ar-SA"/>
        </w:rPr>
        <w:t>具备心律失常分析、ST段分析、起搏分析、抗干扰、防除颤功能，</w:t>
      </w:r>
      <w:r>
        <w:rPr>
          <w:rFonts w:hint="eastAsia" w:ascii="方正仿宋简体" w:hAnsi="方正仿宋简体" w:eastAsia="方正仿宋简体" w:cs="方正仿宋简体"/>
          <w:b w:val="0"/>
          <w:bCs w:val="0"/>
          <w:color w:val="auto"/>
          <w:kern w:val="2"/>
          <w:sz w:val="24"/>
          <w:szCs w:val="24"/>
          <w:lang w:val="en-US" w:eastAsia="zh-CN" w:bidi="ar-SA"/>
        </w:rPr>
        <w:t>可选配EtCO₂监测；</w:t>
      </w:r>
    </w:p>
    <w:p w14:paraId="17095F8D">
      <w:pPr>
        <w:keepNext w:val="0"/>
        <w:keepLines w:val="0"/>
        <w:pageBreakBefore w:val="0"/>
        <w:widowControl/>
        <w:numPr>
          <w:ilvl w:val="0"/>
          <w:numId w:val="6"/>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具备适用于新生儿的血氧探头，低灌注下也可精准稳定测量；</w:t>
      </w:r>
    </w:p>
    <w:p w14:paraId="16EAF830">
      <w:pPr>
        <w:keepNext w:val="0"/>
        <w:keepLines w:val="0"/>
        <w:pageBreakBefore w:val="0"/>
        <w:widowControl/>
        <w:numPr>
          <w:ilvl w:val="0"/>
          <w:numId w:val="6"/>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具备适用于新生儿袖带，可识别不同袖带，具备过压保护；</w:t>
      </w:r>
    </w:p>
    <w:p w14:paraId="7CF638DF">
      <w:pPr>
        <w:keepNext w:val="0"/>
        <w:keepLines w:val="0"/>
        <w:pageBreakBefore w:val="0"/>
        <w:widowControl/>
        <w:numPr>
          <w:ilvl w:val="0"/>
          <w:numId w:val="6"/>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lang w:val="en-US" w:eastAsia="zh-CN"/>
        </w:rPr>
      </w:pPr>
      <w:r>
        <w:rPr>
          <w:rFonts w:hint="eastAsia" w:ascii="方正仿宋简体" w:hAnsi="方正仿宋简体" w:eastAsia="方正仿宋简体" w:cs="方正仿宋简体"/>
          <w:b w:val="0"/>
          <w:bCs w:val="0"/>
          <w:color w:val="auto"/>
          <w:kern w:val="2"/>
          <w:sz w:val="24"/>
          <w:szCs w:val="24"/>
          <w:highlight w:val="none"/>
          <w:lang w:val="en-US" w:eastAsia="zh-CN" w:bidi="ar-SA"/>
        </w:rPr>
        <w:t>≥8英寸显示屏，支持趋势图、表格回顾、报警记录、心律失常分析、数据存储、打印、联网传输等；</w:t>
      </w:r>
    </w:p>
    <w:p w14:paraId="572723B3">
      <w:pPr>
        <w:keepNext w:val="0"/>
        <w:keepLines w:val="0"/>
        <w:pageBreakBefore w:val="0"/>
        <w:widowControl/>
        <w:numPr>
          <w:ilvl w:val="0"/>
          <w:numId w:val="6"/>
        </w:numPr>
        <w:kinsoku/>
        <w:wordWrap/>
        <w:overflowPunct/>
        <w:topLinePunct w:val="0"/>
        <w:autoSpaceDE/>
        <w:autoSpaceDN/>
        <w:bidi w:val="0"/>
        <w:adjustRightInd/>
        <w:snapToGrid/>
        <w:spacing w:line="440" w:lineRule="exact"/>
        <w:ind w:left="0" w:leftChars="0" w:firstLine="0" w:firstLineChars="0"/>
        <w:jc w:val="left"/>
        <w:textAlignment w:val="auto"/>
        <w:outlineLvl w:val="9"/>
        <w:rPr>
          <w:rFonts w:hint="eastAsia"/>
          <w:lang w:val="en-US" w:eastAsia="zh-CN"/>
        </w:rPr>
      </w:pPr>
      <w:r>
        <w:rPr>
          <w:rFonts w:hint="eastAsia" w:ascii="方正仿宋简体" w:hAnsi="方正仿宋简体" w:eastAsia="方正仿宋简体" w:cs="方正仿宋简体"/>
          <w:b w:val="0"/>
          <w:bCs w:val="0"/>
          <w:color w:val="auto"/>
          <w:kern w:val="2"/>
          <w:sz w:val="24"/>
          <w:szCs w:val="24"/>
          <w:lang w:val="en-US" w:eastAsia="zh-CN" w:bidi="ar-SA"/>
        </w:rPr>
        <w:t>附件需配新生儿专用附件，需含体温探头，监护仪支架或推车可选。</w:t>
      </w:r>
    </w:p>
    <w:p w14:paraId="6A8E0CF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序号3、产科门诊、产房-胎心监护专家分析系统功能用途：</w:t>
      </w:r>
    </w:p>
    <w:p w14:paraId="1603F00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胎儿监护数据的专业分析，基于ACOG标准自动分析胎心率基线、变异、胎动、宫缩及加减速情况，提供Fischer、Krebs等多种评分算法，辅助临床决策。以中央工作站为核心，联网床边监护仪，实现多床位集中监护、智能分析、预警与数据管理。</w:t>
      </w:r>
    </w:p>
    <w:p w14:paraId="4EA6E46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BCD1BF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具备实时专家分析系统，自动计算胎心率基线值、加速次数、减速次数、短变异、胎动次数等指标；支持NST、CST等分析算法；可存储≥500个档案，单档案存储≥24小时CTG图；可与中央站联网。 </w:t>
      </w:r>
    </w:p>
    <w:p w14:paraId="4A56D29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序号4、产科门诊-胎心监护工作站（配套中央站）功能用途：</w:t>
      </w:r>
    </w:p>
    <w:p w14:paraId="6B0CC15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集中显示与存储多个床位的胎心监护数据，实现一体化监护与信息管理。</w:t>
      </w:r>
    </w:p>
    <w:p w14:paraId="520A954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EA5B1C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支持多床位（≥8）同时监护；无线探头，高分辨率显示屏；数据实时存储、回放；具备网络传输与打印功能。</w:t>
      </w:r>
    </w:p>
    <w:p w14:paraId="11165A6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序号5、产科门诊-双胎监护仪功能用途：</w:t>
      </w:r>
    </w:p>
    <w:p w14:paraId="0325C47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同时监测双胎胎儿的心率及宫缩情况，适用于多胎妊娠监护。</w:t>
      </w:r>
    </w:p>
    <w:p w14:paraId="348BCA3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75E9AD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双通道独立显示与记录；具有抗干扰技术；支持远程数据传输；配备专用双胎探头；具备打印功能。  </w:t>
      </w:r>
    </w:p>
    <w:p w14:paraId="0572813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序号6、产科门诊-胎心监护仪功能用途：</w:t>
      </w:r>
    </w:p>
    <w:p w14:paraId="65D3F06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监测胎儿心率和宫缩压力，评估胎儿宫内状况。</w:t>
      </w:r>
    </w:p>
    <w:p w14:paraId="33C5E30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468CBB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具备连续打印输出；支持无线探头；具有报警功能；电池续航≥4小时。 </w:t>
      </w:r>
    </w:p>
    <w:p w14:paraId="47A9957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序号7、产房、产前病区-双胎监护仪功能用途：</w:t>
      </w:r>
    </w:p>
    <w:p w14:paraId="218BDC3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同时监测双胎妊娠的胎心率及母体宫缩压力，可实现单机双床位无障碍监护，满足双胞胎及多胎妊娠的产前监护需求。</w:t>
      </w:r>
    </w:p>
    <w:p w14:paraId="5199DD6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F5AF99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无线双胎监护功能，用于同步监测和描记胎心率、宫缩压力、胎动、母体心率等，支持双胎的胎心监护，配有探头架，双胎心探头，双胎心率重合报警功能，报警范围可调。超声发射频率≥2MHz，胎心率范围30-240BPM（精度±1BPM）；宫缩压力测量0-100单位，多档增益可调；具备双胎分屏显示功能。 监护界面可显示监护曲线和数字，支持数据存储、回放和打印功能需要。支持无线数据传输。  </w:t>
      </w:r>
    </w:p>
    <w:p w14:paraId="2BB5846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设备配置需求：</w:t>
      </w:r>
    </w:p>
    <w:p w14:paraId="04558DF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支持与病区胎心监护工作站联网。</w:t>
      </w:r>
    </w:p>
    <w:p w14:paraId="413DBBB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序号8、ICU、产前病区-胎心监护仪功能用途：</w:t>
      </w:r>
    </w:p>
    <w:p w14:paraId="4580DFF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用于实时监护胎儿心率和宫缩，母亲的各项生理参数及变化情况，建立胎儿/母亲监护的中心化管理。</w:t>
      </w:r>
    </w:p>
    <w:p w14:paraId="2F8E57A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6A394D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双通道，具备同步监测和描记胎心率、宫缩压力、母体心率等，支持单胎/双胎的胎心监护，配有探头架，胎心率超限报警，报警范围可调，具有双胎心率重合报警功能，具有超声信号指示。监护界面可显示监护曲线和数字，支持数据存储、回放和打印功能需要。支持无线数据传输至中央站。  </w:t>
      </w:r>
    </w:p>
    <w:p w14:paraId="773F466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设备配置需求：</w:t>
      </w:r>
    </w:p>
    <w:p w14:paraId="6EC8578F">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支持与病区胎心监护工作站联网。</w:t>
      </w:r>
    </w:p>
    <w:p w14:paraId="52723528">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序号9、手术室-肌松监测仪功能用途：</w:t>
      </w:r>
    </w:p>
    <w:p w14:paraId="77E7AAA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实时定量化监测神经肌肉阻滞深度及恢复状态。需具备神经肌肉阻滞程度量化检测功能、阻滞类型鉴别功能、动态监测恢复趋势功能、数据记录与可追溯、超阈值提醒功能。</w:t>
      </w:r>
    </w:p>
    <w:p w14:paraId="0E3ADC4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87B1D2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1.肌松监护仪必须具备刺激模式：恒流输出（0-70mA）的四个成串刺激（TOF）、单次刺激（STS）及强直后计数（PTC）,可具备刺激模式：强直刺激，双强直刺激；</w:t>
      </w:r>
    </w:p>
    <w:p w14:paraId="4CEEAF5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2.刺激电流输出范围：最大输出电流≥70mA，步进1mA，误差≤±10%；</w:t>
      </w:r>
    </w:p>
    <w:p w14:paraId="25BD915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3.刺激频率：TOF刺激频率为2Hz，误差≤±10%；STS刺激频率：1Hz或0.1Hz，误差≤±10%；强直刺激频率 / 时长：50 Hz/5s（常规）、100 Hz/1s（可选）；</w:t>
      </w:r>
    </w:p>
    <w:p w14:paraId="28DEC28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4.刺激脉冲宽度至少具备3档可调：100μs、200μs、300μs；</w:t>
      </w:r>
    </w:p>
    <w:p w14:paraId="78F842C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5.支持加速度法（压电传感器绑拇指）或肌电法（表面电极）定量监测拇内收肌收缩反应；</w:t>
      </w:r>
    </w:p>
    <w:p w14:paraId="3F83CA0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6.实时数字化显示TOF比率（T4/T1比值，分辨率≤1%，误差±3%）及趋势曲线，具备皮肤阻抗和手部温度监测报警功能；</w:t>
      </w:r>
    </w:p>
    <w:p w14:paraId="60737C0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7.设备应为CF型防电击安全等级，具备电刀干扰自动屏蔽；</w:t>
      </w:r>
    </w:p>
    <w:p w14:paraId="2118503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8.交流供电，支持内置电池续航≥4小时并支持麻醉机挂载；</w:t>
      </w:r>
    </w:p>
    <w:p w14:paraId="378A31C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9.具备数据存储功能，支持数量导出；</w:t>
      </w:r>
    </w:p>
    <w:p w14:paraId="65DA053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10.支持HL7/FHIR协议接入医院麻醉信息系统（AIMS）。 </w:t>
      </w:r>
    </w:p>
    <w:p w14:paraId="1035426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序号10、手术室、ICU-脑氧监测仪（配套耗材项目）功能用途：</w:t>
      </w:r>
    </w:p>
    <w:p w14:paraId="2CECB3F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连续无创监测脑组织血氧饱和度情况。</w:t>
      </w:r>
    </w:p>
    <w:p w14:paraId="3BEEE58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1EA522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1.通过贴放无创传感器可监测局部组织血氧饱和度、相对变化量；</w:t>
      </w:r>
    </w:p>
    <w:p w14:paraId="7D866B9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2.探头传感器适用成人/儿童/新生儿，可监测脑部、肢体、腹部等部位；</w:t>
      </w:r>
    </w:p>
    <w:p w14:paraId="2113F64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3.通道数≥2通道，可升级至4通道；</w:t>
      </w:r>
    </w:p>
    <w:p w14:paraId="1636EE2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4.近红外光，光源波段不低于3波段；</w:t>
      </w:r>
    </w:p>
    <w:p w14:paraId="0AD568C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5.数据更新频率不低于3秒/次；</w:t>
      </w:r>
    </w:p>
    <w:p w14:paraId="1A23C13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6.显示监测参数数值及趋势图，支持数据存储和导出；</w:t>
      </w:r>
    </w:p>
    <w:p w14:paraId="5E6499F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6.具备超阈值报警、传感器脱落、设备故障、信号弱等提示；</w:t>
      </w:r>
    </w:p>
    <w:p w14:paraId="28C92CF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7.优先选择能与科室现有中央监护系统、信息系统无缝对接的设备。  </w:t>
      </w:r>
    </w:p>
    <w:p w14:paraId="19B2046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序号11、新生儿科-氧气浓度监测仪功能用途：</w:t>
      </w:r>
    </w:p>
    <w:p w14:paraId="5BA83D4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用于NICU、暖箱内及用氧治疗时实时监测氧浓度，防止高氧或低氧对新生儿造成损伤。</w:t>
      </w:r>
    </w:p>
    <w:p w14:paraId="0052D7E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8BA950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氧浓度监测范围不低于：21%～100%，测量精度：±2%或±3%，大屏幕LED/LCD显示，具备高/低氧浓度声光报警功能，报警限可调。</w:t>
      </w:r>
    </w:p>
    <w:p w14:paraId="7FE9B788">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序号12、新生儿科-超声无创血流动力学监测仪功能用途：</w:t>
      </w:r>
    </w:p>
    <w:p w14:paraId="6329461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用于NICU危重新生儿的无创、连续血流动力学监测，通过超声技术实时评估心输出量、心指数、外周血管阻力、胸腔液体含量等参数。</w:t>
      </w:r>
    </w:p>
    <w:p w14:paraId="5347DED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32A058D">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1.采用多普勒超声技术或生物电阻抗法，实现完全无创的血流动力学监测，无需使用专用耗材；</w:t>
      </w:r>
    </w:p>
    <w:p w14:paraId="46EA3D6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监测参数至少包含：心功能参数：每搏输出量（SV）、每搏输出量指数（SVI）、心输出量（CO）、心指数（CI）、心率（HR）、血管阻力参数、容量参数、左室射血时间（LVET）、心收缩指数（CTI）、射血分数（EF）、左心做功指数（LCWi）等；</w:t>
      </w:r>
    </w:p>
    <w:p w14:paraId="2983512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3.具备具备液体反应性评估功能、休克分型评估功能、动态测量胸腔液体变化趋势的功能等；</w:t>
      </w:r>
    </w:p>
    <w:p w14:paraId="3E0BD8B6">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4.测量过程不受体位变化影响，无需在设备端进行“体位选择”操作；</w:t>
      </w:r>
    </w:p>
    <w:p w14:paraId="603ED7B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5.心输出量测量结果与有创金标准对比误差≤±10%；</w:t>
      </w:r>
    </w:p>
    <w:p w14:paraId="0BBEF8B3">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 具备与医院信息系统（HIS）或中央监护系统无缝对接能力；</w:t>
      </w:r>
    </w:p>
    <w:p w14:paraId="4DA8CDA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7.需配有主机、专用台车、工作站、彩色打印机。</w:t>
      </w:r>
    </w:p>
    <w:p w14:paraId="1E689E55">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序号13、LDRP病区、新生儿科、产后病区、妇保设备-听力-耳声发射仪（听力筛查仪）功能用途：</w:t>
      </w:r>
    </w:p>
    <w:p w14:paraId="32EB0F0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用于新生儿听力筛查、听力损失定位诊断、早期监测与预警、辅助诊断多种耳科疾病等，能够客观评估耳蜗外毛细胞的功能状态。</w:t>
      </w:r>
    </w:p>
    <w:p w14:paraId="407EBED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158B42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1.手持式主机，测试方式包含：DPOAE 畸变产物耳声发射、TEOAE 瞬态诱发耳声发射，可单耳、双耳分别测试;</w:t>
      </w:r>
    </w:p>
    <w:p w14:paraId="3B097F7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2.TEOAE：刺激声：短声 / 短纯音,分析频率：0.5~4kHz;DPOAE：频率范围：0.5～8 kHz 多频测试，</w:t>
      </w:r>
      <w:r>
        <w:rPr>
          <w:rFonts w:hint="eastAsia" w:ascii="方正仿宋简体" w:hAnsi="方正仿宋简体" w:eastAsia="方正仿宋简体" w:cs="方正仿宋简体"/>
          <w:b w:val="0"/>
          <w:bCs w:val="0"/>
          <w:color w:val="auto"/>
          <w:kern w:val="2"/>
          <w:sz w:val="24"/>
          <w:szCs w:val="24"/>
          <w:lang w:val="en-US" w:eastAsia="zh-CN" w:bidi="ar-SA"/>
        </w:rPr>
        <w:t>1-4kHz，覆盖儿童言语频率</w:t>
      </w:r>
      <w:r>
        <w:rPr>
          <w:rFonts w:hint="eastAsia" w:ascii="方正仿宋简体" w:hAnsi="方正仿宋简体" w:eastAsia="方正仿宋简体" w:cs="方正仿宋简体"/>
          <w:b w:val="0"/>
          <w:bCs w:val="0"/>
          <w:color w:val="auto"/>
          <w:kern w:val="2"/>
          <w:sz w:val="24"/>
          <w:szCs w:val="24"/>
          <w:highlight w:val="none"/>
          <w:lang w:val="en-US" w:eastAsia="zh-CN" w:bidi="ar-SA"/>
        </w:rPr>
        <w:t>;</w:t>
      </w:r>
    </w:p>
    <w:p w14:paraId="3F528E7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3.实时显示波形、幅值、信噪比，自动分析、自动给结果；</w:t>
      </w:r>
    </w:p>
    <w:p w14:paraId="297D5BD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4.内置噪声监测及屏蔽，无需隔音室即可检测；</w:t>
      </w:r>
    </w:p>
    <w:p w14:paraId="6E63B22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5.</w:t>
      </w:r>
      <w:r>
        <w:rPr>
          <w:rFonts w:hint="eastAsia" w:ascii="方正仿宋简体" w:hAnsi="方正仿宋简体" w:eastAsia="方正仿宋简体" w:cs="方正仿宋简体"/>
          <w:b w:val="0"/>
          <w:bCs w:val="0"/>
          <w:color w:val="auto"/>
          <w:kern w:val="2"/>
          <w:sz w:val="24"/>
          <w:szCs w:val="24"/>
          <w:lang w:val="en-US" w:eastAsia="zh-CN" w:bidi="ar-SA"/>
        </w:rPr>
        <w:t>探头：</w:t>
      </w:r>
      <w:r>
        <w:rPr>
          <w:rFonts w:hint="eastAsia" w:ascii="方正仿宋简体" w:hAnsi="方正仿宋简体" w:eastAsia="方正仿宋简体" w:cs="方正仿宋简体"/>
          <w:b w:val="0"/>
          <w:bCs w:val="0"/>
          <w:color w:val="auto"/>
          <w:kern w:val="2"/>
          <w:sz w:val="24"/>
          <w:szCs w:val="24"/>
          <w:highlight w:val="none"/>
          <w:lang w:val="en-US" w:eastAsia="zh-CN" w:bidi="ar-SA"/>
        </w:rPr>
        <w:t>具备</w:t>
      </w:r>
      <w:r>
        <w:rPr>
          <w:rFonts w:hint="eastAsia" w:ascii="方正仿宋简体" w:hAnsi="方正仿宋简体" w:eastAsia="方正仿宋简体" w:cs="方正仿宋简体"/>
          <w:b w:val="0"/>
          <w:bCs w:val="0"/>
          <w:color w:val="auto"/>
          <w:kern w:val="2"/>
          <w:sz w:val="24"/>
          <w:szCs w:val="24"/>
          <w:lang w:val="en-US" w:eastAsia="zh-CN" w:bidi="ar-SA"/>
        </w:rPr>
        <w:t>新生儿及儿童</w:t>
      </w:r>
      <w:r>
        <w:rPr>
          <w:rFonts w:hint="eastAsia" w:ascii="方正仿宋简体" w:hAnsi="方正仿宋简体" w:eastAsia="方正仿宋简体" w:cs="方正仿宋简体"/>
          <w:b w:val="0"/>
          <w:bCs w:val="0"/>
          <w:color w:val="auto"/>
          <w:kern w:val="2"/>
          <w:sz w:val="24"/>
          <w:szCs w:val="24"/>
          <w:highlight w:val="none"/>
          <w:lang w:val="en-US" w:eastAsia="zh-CN" w:bidi="ar-SA"/>
        </w:rPr>
        <w:t>专用的软硅胶探头，</w:t>
      </w:r>
      <w:r>
        <w:rPr>
          <w:rFonts w:hint="eastAsia" w:ascii="方正仿宋简体" w:hAnsi="方正仿宋简体" w:eastAsia="方正仿宋简体" w:cs="方正仿宋简体"/>
          <w:b w:val="0"/>
          <w:bCs w:val="0"/>
          <w:color w:val="auto"/>
          <w:kern w:val="2"/>
          <w:sz w:val="24"/>
          <w:szCs w:val="24"/>
          <w:lang w:val="en-US" w:eastAsia="zh-CN" w:bidi="ar-SA"/>
        </w:rPr>
        <w:t>密封好，不伤耳道，</w:t>
      </w:r>
      <w:r>
        <w:rPr>
          <w:rFonts w:hint="eastAsia" w:ascii="方正仿宋简体" w:hAnsi="方正仿宋简体" w:eastAsia="方正仿宋简体" w:cs="方正仿宋简体"/>
          <w:b w:val="0"/>
          <w:bCs w:val="0"/>
          <w:color w:val="auto"/>
          <w:kern w:val="2"/>
          <w:sz w:val="24"/>
          <w:szCs w:val="24"/>
          <w:highlight w:val="none"/>
          <w:lang w:val="en-US" w:eastAsia="zh-CN" w:bidi="ar-SA"/>
        </w:rPr>
        <w:t>防污染，可更换耳塞；</w:t>
      </w:r>
    </w:p>
    <w:p w14:paraId="1029A97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6.</w:t>
      </w:r>
      <w:r>
        <w:rPr>
          <w:rFonts w:hint="eastAsia" w:ascii="方正仿宋简体" w:hAnsi="方正仿宋简体" w:eastAsia="方正仿宋简体" w:cs="方正仿宋简体"/>
          <w:b w:val="0"/>
          <w:bCs w:val="0"/>
          <w:color w:val="auto"/>
          <w:kern w:val="2"/>
          <w:sz w:val="24"/>
          <w:szCs w:val="24"/>
          <w:lang w:val="en-US" w:eastAsia="zh-CN" w:bidi="ar-SA"/>
        </w:rPr>
        <w:t>功能：快速筛查/诊断模式，自动判断合格/不合格，支持新生儿听力筛查批量检测，</w:t>
      </w:r>
      <w:r>
        <w:rPr>
          <w:rFonts w:hint="eastAsia" w:ascii="方正仿宋简体" w:hAnsi="方正仿宋简体" w:eastAsia="方正仿宋简体" w:cs="方正仿宋简体"/>
          <w:b w:val="0"/>
          <w:bCs w:val="0"/>
          <w:color w:val="auto"/>
          <w:kern w:val="2"/>
          <w:sz w:val="24"/>
          <w:szCs w:val="24"/>
          <w:highlight w:val="none"/>
          <w:lang w:val="en-US" w:eastAsia="zh-CN" w:bidi="ar-SA"/>
        </w:rPr>
        <w:t xml:space="preserve">具备数据存储功能，支持WiFi / 蓝牙 / USB数据传输，支持报告打印。  </w:t>
      </w:r>
    </w:p>
    <w:p w14:paraId="5A08322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设备配置需求：</w:t>
      </w:r>
    </w:p>
    <w:p w14:paraId="4FC9E92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需提供耳塞以满足科室的使用，需配有适配的打印机。</w:t>
      </w:r>
    </w:p>
    <w:p w14:paraId="7C5B4CB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序号14、儿科PICU病区-无创心功能监测（配套耗材）功能用途：</w:t>
      </w:r>
    </w:p>
    <w:p w14:paraId="17B3109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用于评估新功能状态、早期识别休克风险、指导液体复苏和药物治疗及监测疾病进展及治疗效果。</w:t>
      </w:r>
    </w:p>
    <w:p w14:paraId="41CE1CE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B5C04B7">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具备心输出量、心脏指数、每搏输出量、系统血管阻力指数、平均动脉压、心肌收缩力指数等。</w:t>
      </w:r>
    </w:p>
    <w:p w14:paraId="2CF5D8A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序号15、成人综合门诊、一站式服务中心、儿科PICU病区、儿科、妇保设备-儿童保健部-血氧饱和度检测仪（脉氧仪）功能用途：</w:t>
      </w:r>
    </w:p>
    <w:p w14:paraId="27EEA7C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手持式血氧监测仪，能够准确、快速地监测儿童的血氧饱和度、脉率、灌注指数，适用于儿童/新生儿低灌注监测。用于辅助筛查先天性心脏病等。</w:t>
      </w:r>
    </w:p>
    <w:p w14:paraId="3B7AF88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C6C01C8">
      <w:pPr>
        <w:keepNext w:val="0"/>
        <w:keepLines w:val="0"/>
        <w:pageBreakBefore w:val="0"/>
        <w:widowControl/>
        <w:numPr>
          <w:ilvl w:val="0"/>
          <w:numId w:val="7"/>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血氧饱和度监测范围0~100%，测量精度：70%~100%，新生儿/儿童/低灌注状态：优于±2%；</w:t>
      </w:r>
    </w:p>
    <w:p w14:paraId="588C840A">
      <w:pPr>
        <w:keepNext w:val="0"/>
        <w:keepLines w:val="0"/>
        <w:pageBreakBefore w:val="0"/>
        <w:widowControl/>
        <w:numPr>
          <w:ilvl w:val="0"/>
          <w:numId w:val="7"/>
        </w:numPr>
        <w:kinsoku/>
        <w:wordWrap/>
        <w:overflowPunct/>
        <w:topLinePunct w:val="0"/>
        <w:autoSpaceDE/>
        <w:autoSpaceDN/>
        <w:bidi w:val="0"/>
        <w:adjustRightInd/>
        <w:snapToGrid/>
        <w:spacing w:line="440" w:lineRule="exact"/>
        <w:ind w:left="0" w:leftChars="0" w:firstLine="0" w:firstLine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脉率测量范围不低于：30-240bpm，测量精度达±2%或±2bpm；</w:t>
      </w:r>
    </w:p>
    <w:p w14:paraId="4FD291B8">
      <w:pPr>
        <w:keepNext w:val="0"/>
        <w:keepLines w:val="0"/>
        <w:pageBreakBefore w:val="0"/>
        <w:widowControl/>
        <w:numPr>
          <w:ilvl w:val="0"/>
          <w:numId w:val="7"/>
        </w:numPr>
        <w:kinsoku/>
        <w:wordWrap/>
        <w:overflowPunct/>
        <w:topLinePunct w:val="0"/>
        <w:autoSpaceDE/>
        <w:autoSpaceDN/>
        <w:bidi w:val="0"/>
        <w:adjustRightInd/>
        <w:snapToGrid/>
        <w:spacing w:line="440" w:lineRule="exact"/>
        <w:ind w:left="0" w:leftChars="0" w:firstLine="0" w:firstLine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血流灌注指数PI可监测最低≤0.05% ;</w:t>
      </w:r>
    </w:p>
    <w:p w14:paraId="4862AF33">
      <w:pPr>
        <w:keepNext w:val="0"/>
        <w:keepLines w:val="0"/>
        <w:pageBreakBefore w:val="0"/>
        <w:widowControl/>
        <w:numPr>
          <w:ilvl w:val="0"/>
          <w:numId w:val="7"/>
        </w:numPr>
        <w:kinsoku/>
        <w:wordWrap/>
        <w:overflowPunct/>
        <w:topLinePunct w:val="0"/>
        <w:autoSpaceDE/>
        <w:autoSpaceDN/>
        <w:bidi w:val="0"/>
        <w:adjustRightInd/>
        <w:snapToGrid/>
        <w:spacing w:line="440" w:lineRule="exact"/>
        <w:ind w:left="0" w:leftChars="0" w:firstLine="0" w:firstLine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功能：低血氧报警（可设置阈值），实时数据显示，支持短时连续监测；</w:t>
      </w:r>
    </w:p>
    <w:p w14:paraId="03585F76">
      <w:pPr>
        <w:keepNext w:val="0"/>
        <w:keepLines w:val="0"/>
        <w:pageBreakBefore w:val="0"/>
        <w:widowControl/>
        <w:numPr>
          <w:ilvl w:val="0"/>
          <w:numId w:val="7"/>
        </w:numPr>
        <w:kinsoku/>
        <w:wordWrap/>
        <w:overflowPunct/>
        <w:topLinePunct w:val="0"/>
        <w:autoSpaceDE/>
        <w:autoSpaceDN/>
        <w:bidi w:val="0"/>
        <w:adjustRightInd/>
        <w:snapToGrid/>
        <w:spacing w:line="440" w:lineRule="exact"/>
        <w:ind w:left="0" w:leftChars="0" w:firstLine="0" w:firstLine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便携性：手持便携式/指夹式，重量≤50g，充电式，门诊快速检测，床边可用；</w:t>
      </w:r>
    </w:p>
    <w:p w14:paraId="7BFC38EB">
      <w:pPr>
        <w:keepNext w:val="0"/>
        <w:keepLines w:val="0"/>
        <w:pageBreakBefore w:val="0"/>
        <w:widowControl/>
        <w:numPr>
          <w:ilvl w:val="0"/>
          <w:numId w:val="7"/>
        </w:numPr>
        <w:kinsoku/>
        <w:wordWrap/>
        <w:overflowPunct/>
        <w:topLinePunct w:val="0"/>
        <w:autoSpaceDE/>
        <w:autoSpaceDN/>
        <w:bidi w:val="0"/>
        <w:adjustRightInd/>
        <w:snapToGrid/>
        <w:spacing w:line="440" w:lineRule="exact"/>
        <w:ind w:left="0" w:leftChars="0" w:firstLine="0" w:firstLineChars="0"/>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附加：带背光显示屏，暗光环境可读取数据，适配儿童体检/疾病筛查。</w:t>
      </w:r>
    </w:p>
    <w:p w14:paraId="5105EDB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设备配置需求：</w:t>
      </w:r>
    </w:p>
    <w:p w14:paraId="5E91E36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要求配备不同年龄段的指脉氧探头,适配新生儿至青少年。</w:t>
      </w:r>
    </w:p>
    <w:p w14:paraId="339039E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序号16、儿科-肺功能仪（配套耗材）功能用途：</w:t>
      </w:r>
    </w:p>
    <w:p w14:paraId="0A15206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无创的呼吸系统疾病常用检查，用于诊断和鉴别诊断儿童哮喘及哮喘发作的严重程度。</w:t>
      </w:r>
    </w:p>
    <w:p w14:paraId="4060C19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3E7E2B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流量测量范围为0～±20L/s，分辨率≤10ml/s，流量测量精度±2%，容量0～±20L，标配主机、传感器、定标桶、面罩、台车、工作站及打印机等。</w:t>
      </w:r>
    </w:p>
    <w:p w14:paraId="414AFCB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设备配置需求：</w:t>
      </w:r>
    </w:p>
    <w:p w14:paraId="6BA7D5EC">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需配一次性口嘴。</w:t>
      </w:r>
    </w:p>
    <w:p w14:paraId="5EB4C0F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序号17、全院-血糖仪（配套耗材项目）功能用途：</w:t>
      </w:r>
    </w:p>
    <w:p w14:paraId="147E4B3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测量血液中的葡萄糖浓度，用于日常血糖监测。</w:t>
      </w:r>
    </w:p>
    <w:p w14:paraId="371E0E6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538402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精密度：血糖≥100mg/dL时，变异系数(CV)&lt;5% ；测量范围：常见 1.1-33.3 mmol/L；采血量：0.5-1.5微升；测量时间：5-10秒；数据存储：可储存数百至上千条带时间的数据。</w:t>
      </w:r>
    </w:p>
    <w:p w14:paraId="2904C57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序号18、妇保设备-儿童保健部-便携式骨龄仪功能用途：</w:t>
      </w:r>
    </w:p>
    <w:p w14:paraId="4A85091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生长发育门诊和营养门诊和儿保门诊评估儿童骨龄用。</w:t>
      </w:r>
    </w:p>
    <w:p w14:paraId="1CA3118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1AF9FC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 检测原理：高频超声（≥10MHz）扫描腕部骨骺，结合儿童生长数据库评估骨龄，无电离辐射；</w:t>
      </w:r>
    </w:p>
    <w:p w14:paraId="4A1F5F9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 检测部位：左手腕部，适配0-18岁儿童，一键扫描，检测时间≤60秒；</w:t>
      </w:r>
    </w:p>
    <w:p w14:paraId="3627773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 评估方法：内置中国儿童数据库，支持与GP/TW3法对标，自动计算骨龄及骨龄差；</w:t>
      </w:r>
    </w:p>
    <w:p w14:paraId="14C2CD7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 数据输出：生成骨龄报告，含生长曲线对比、身高预测，支持数据导出与存档；</w:t>
      </w:r>
    </w:p>
    <w:p w14:paraId="3183B03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5. 安全便携：医用软质探头，儿童专用固定支架；台式/便携式可选，重量≤5kg，可充电续航。 </w:t>
      </w:r>
    </w:p>
    <w:p w14:paraId="04BE9AB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序号19、急诊-洗胃机功能用途：</w:t>
      </w:r>
    </w:p>
    <w:p w14:paraId="18E403E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为消化道途径中毒患者行紧急洗胃。</w:t>
      </w:r>
    </w:p>
    <w:p w14:paraId="54044F9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62DB0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无油膜式泵，能够自动向胃内注入冲洗液，并自动吸出胃内容物。具备自动控压功能，洗胃压力至少在47kpa-55kpa可调，当进胃压力超过安全范围时，自动停止进液并报警，防止胃穿孔等并发症。配备自动和手动控制模式，在特殊急救情况下可由医护人员手动控制进液和出液。具备防回流装置，防止胃液倒灌造成二次污染。配有显示屏，可数字化显示洗胃数据。</w:t>
      </w:r>
    </w:p>
    <w:p w14:paraId="1F4B8F4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序号20、血管通路门诊、妇科-心电多普勒超声检测仪功能用途：</w:t>
      </w:r>
    </w:p>
    <w:p w14:paraId="2758A9E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产品适用于人体超声诊断检查及超声检查时的心电检测，同时具有超声诊断功能和心电检测功能。</w:t>
      </w:r>
    </w:p>
    <w:p w14:paraId="1DC1505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CAC43F5">
      <w:pPr>
        <w:keepNext w:val="0"/>
        <w:keepLines w:val="0"/>
        <w:pageBreakBefore w:val="0"/>
        <w:widowControl/>
        <w:numPr>
          <w:ilvl w:val="0"/>
          <w:numId w:val="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外观设计和操作：≥12.1 英寸彩色液晶触摸电容屏，分辨率 1024×768；屏幕采用全贴合设计，提高图像的清晰度；具备手写、拼音、五笔等多种输入方式；配备附件收纳箱，方便携带；具有USB接口，可外接鼠标、键盘、U盘；具有HDMI接口，可外接高清显示器，显示仪器当前界面信息；超声模式心电模式可一键切换。</w:t>
      </w:r>
    </w:p>
    <w:p w14:paraId="36865B18">
      <w:pPr>
        <w:keepNext w:val="0"/>
        <w:keepLines w:val="0"/>
        <w:pageBreakBefore w:val="0"/>
        <w:widowControl/>
        <w:numPr>
          <w:ilvl w:val="0"/>
          <w:numId w:val="8"/>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超声成像模式：B、B+C、B+D、B+C+D；支持手动/自动电影回放功能，支持储存1200帧图像；具有图像冻结功能；探头支持按钮快捷键功能（冻结，深度调节，心电模式切换）具有测量功能，可测量周长、面积、距离；具有置管导管示意图显示；超声探头IPX7级防水。</w:t>
      </w:r>
    </w:p>
    <w:p w14:paraId="0757C1C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心电：可查看和导出病人数据，包括超声影像和ECG波形；心电导联模式：置管专用4 导联；ECG灵敏度： 10 mm/mV(×1)、20 mm/mV(×2)、40 mm/mV(×4)；扫描速度：25mm/s、50mm/s 两档可选；频率特性 手术模式：1 Hz～20 Hz (-3.0dB～+0.4dB)；耐极化电压：±750mV；心率测量范围：成人范围 15～300bpm，新生儿/小儿范围 15～350bpm。具有ECG波形冻结和记录功能。</w:t>
      </w:r>
    </w:p>
    <w:p w14:paraId="6C3AFD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简体" w:hAnsi="方正仿宋简体" w:eastAsia="方正仿宋简体" w:cs="方正仿宋简体"/>
          <w:b/>
          <w:bCs/>
          <w:color w:val="auto"/>
          <w:sz w:val="24"/>
          <w:szCs w:val="24"/>
          <w:lang w:val="en-US" w:eastAsia="zh-CN"/>
        </w:rPr>
      </w:pPr>
      <w:r>
        <w:rPr>
          <w:rFonts w:hint="eastAsia" w:ascii="方正仿宋简体" w:hAnsi="方正仿宋简体" w:eastAsia="方正仿宋简体" w:cs="方正仿宋简体"/>
          <w:b/>
          <w:bCs/>
          <w:color w:val="auto"/>
          <w:sz w:val="24"/>
          <w:szCs w:val="24"/>
          <w:lang w:val="en-US" w:eastAsia="zh-CN"/>
        </w:rPr>
        <w:t>包2：医用磁共振设备辅助装置及医用X线附属设备</w:t>
      </w:r>
    </w:p>
    <w:tbl>
      <w:tblPr>
        <w:tblStyle w:val="17"/>
        <w:tblW w:w="10705" w:type="dxa"/>
        <w:tblInd w:w="-4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3017"/>
        <w:gridCol w:w="4199"/>
        <w:gridCol w:w="1377"/>
        <w:gridCol w:w="1400"/>
      </w:tblGrid>
      <w:tr w14:paraId="7F3D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exact"/>
        </w:trPr>
        <w:tc>
          <w:tcPr>
            <w:tcW w:w="712" w:type="dxa"/>
            <w:tcBorders>
              <w:top w:val="single" w:color="auto" w:sz="4" w:space="0"/>
              <w:left w:val="single" w:color="auto" w:sz="4" w:space="0"/>
              <w:bottom w:val="single" w:color="auto" w:sz="4" w:space="0"/>
              <w:right w:val="single" w:color="000000" w:sz="4" w:space="0"/>
            </w:tcBorders>
            <w:shd w:val="clear" w:color="auto" w:fill="auto"/>
            <w:vAlign w:val="center"/>
          </w:tcPr>
          <w:p w14:paraId="4FF59B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序号</w:t>
            </w:r>
          </w:p>
        </w:tc>
        <w:tc>
          <w:tcPr>
            <w:tcW w:w="3017" w:type="dxa"/>
            <w:tcBorders>
              <w:top w:val="single" w:color="auto" w:sz="4" w:space="0"/>
              <w:left w:val="single" w:color="000000" w:sz="4" w:space="0"/>
              <w:bottom w:val="single" w:color="auto" w:sz="4" w:space="0"/>
              <w:right w:val="single" w:color="auto" w:sz="4" w:space="0"/>
            </w:tcBorders>
            <w:shd w:val="clear" w:color="auto" w:fill="auto"/>
            <w:vAlign w:val="center"/>
          </w:tcPr>
          <w:p w14:paraId="0531E9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科室</w:t>
            </w:r>
          </w:p>
        </w:tc>
        <w:tc>
          <w:tcPr>
            <w:tcW w:w="4199" w:type="dxa"/>
            <w:tcBorders>
              <w:top w:val="single" w:color="auto" w:sz="4" w:space="0"/>
              <w:left w:val="single" w:color="000000" w:sz="4" w:space="0"/>
              <w:bottom w:val="single" w:color="auto" w:sz="4" w:space="0"/>
              <w:right w:val="single" w:color="auto" w:sz="4" w:space="0"/>
            </w:tcBorders>
            <w:shd w:val="clear" w:color="auto" w:fill="auto"/>
            <w:vAlign w:val="center"/>
          </w:tcPr>
          <w:p w14:paraId="018D6C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设备名称</w:t>
            </w:r>
          </w:p>
        </w:tc>
        <w:tc>
          <w:tcPr>
            <w:tcW w:w="1377" w:type="dxa"/>
            <w:tcBorders>
              <w:top w:val="single" w:color="auto" w:sz="4" w:space="0"/>
              <w:left w:val="single" w:color="auto" w:sz="4" w:space="0"/>
              <w:bottom w:val="single" w:color="000000" w:sz="4" w:space="0"/>
              <w:right w:val="single" w:color="auto" w:sz="4" w:space="0"/>
            </w:tcBorders>
            <w:shd w:val="clear" w:color="auto" w:fill="auto"/>
            <w:vAlign w:val="center"/>
          </w:tcPr>
          <w:p w14:paraId="5D7442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需求数量    （台、套）</w:t>
            </w:r>
          </w:p>
        </w:tc>
        <w:tc>
          <w:tcPr>
            <w:tcW w:w="1400" w:type="dxa"/>
            <w:tcBorders>
              <w:top w:val="single" w:color="auto" w:sz="4" w:space="0"/>
              <w:left w:val="single" w:color="auto" w:sz="4" w:space="0"/>
              <w:bottom w:val="single" w:color="000000" w:sz="4" w:space="0"/>
              <w:right w:val="single" w:color="auto" w:sz="4" w:space="0"/>
            </w:tcBorders>
            <w:shd w:val="clear" w:color="auto" w:fill="auto"/>
            <w:vAlign w:val="center"/>
          </w:tcPr>
          <w:p w14:paraId="7F6807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预算价格  （万元）</w:t>
            </w:r>
          </w:p>
        </w:tc>
      </w:tr>
      <w:tr w14:paraId="5BB77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exact"/>
        </w:trPr>
        <w:tc>
          <w:tcPr>
            <w:tcW w:w="712" w:type="dxa"/>
            <w:tcBorders>
              <w:top w:val="single" w:color="auto" w:sz="4" w:space="0"/>
              <w:left w:val="single" w:color="auto" w:sz="4" w:space="0"/>
              <w:bottom w:val="single" w:color="auto" w:sz="4" w:space="0"/>
              <w:right w:val="single" w:color="000000" w:sz="4" w:space="0"/>
            </w:tcBorders>
            <w:shd w:val="clear" w:color="auto" w:fill="auto"/>
            <w:vAlign w:val="center"/>
          </w:tcPr>
          <w:p w14:paraId="1E5248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1</w:t>
            </w:r>
          </w:p>
        </w:tc>
        <w:tc>
          <w:tcPr>
            <w:tcW w:w="3017" w:type="dxa"/>
            <w:tcBorders>
              <w:top w:val="single" w:color="auto" w:sz="4" w:space="0"/>
              <w:left w:val="single" w:color="000000" w:sz="4" w:space="0"/>
              <w:bottom w:val="single" w:color="auto" w:sz="4" w:space="0"/>
              <w:right w:val="single" w:color="auto" w:sz="4" w:space="0"/>
            </w:tcBorders>
            <w:shd w:val="clear" w:color="auto" w:fill="auto"/>
            <w:vAlign w:val="center"/>
          </w:tcPr>
          <w:p w14:paraId="2BC5E278">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医学影像科</w:t>
            </w:r>
          </w:p>
        </w:tc>
        <w:tc>
          <w:tcPr>
            <w:tcW w:w="4199" w:type="dxa"/>
            <w:tcBorders>
              <w:top w:val="single" w:color="auto" w:sz="4" w:space="0"/>
              <w:left w:val="single" w:color="000000" w:sz="4" w:space="0"/>
              <w:bottom w:val="single" w:color="auto" w:sz="4" w:space="0"/>
              <w:right w:val="single" w:color="auto" w:sz="4" w:space="0"/>
            </w:tcBorders>
            <w:shd w:val="clear" w:color="auto" w:fill="auto"/>
            <w:vAlign w:val="center"/>
          </w:tcPr>
          <w:p w14:paraId="30629A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磁共振金属探测门（含防磁监控）</w:t>
            </w:r>
          </w:p>
        </w:tc>
        <w:tc>
          <w:tcPr>
            <w:tcW w:w="1377" w:type="dxa"/>
            <w:tcBorders>
              <w:top w:val="single" w:color="auto" w:sz="4" w:space="0"/>
              <w:left w:val="single" w:color="auto" w:sz="4" w:space="0"/>
              <w:bottom w:val="single" w:color="000000" w:sz="4" w:space="0"/>
              <w:right w:val="single" w:color="auto" w:sz="4" w:space="0"/>
            </w:tcBorders>
            <w:shd w:val="clear" w:color="auto" w:fill="auto"/>
            <w:vAlign w:val="center"/>
          </w:tcPr>
          <w:p w14:paraId="506784AC">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400" w:type="dxa"/>
            <w:tcBorders>
              <w:top w:val="single" w:color="auto" w:sz="4" w:space="0"/>
              <w:left w:val="single" w:color="auto" w:sz="4" w:space="0"/>
              <w:bottom w:val="single" w:color="000000" w:sz="4" w:space="0"/>
              <w:right w:val="single" w:color="auto" w:sz="4" w:space="0"/>
            </w:tcBorders>
            <w:shd w:val="clear" w:color="auto" w:fill="auto"/>
            <w:vAlign w:val="center"/>
          </w:tcPr>
          <w:p w14:paraId="42B6AC3F">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40</w:t>
            </w:r>
          </w:p>
        </w:tc>
      </w:tr>
      <w:tr w14:paraId="04561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2115F5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2</w:t>
            </w:r>
          </w:p>
        </w:tc>
        <w:tc>
          <w:tcPr>
            <w:tcW w:w="3017" w:type="dxa"/>
            <w:tcBorders>
              <w:top w:val="single" w:color="auto" w:sz="4" w:space="0"/>
              <w:left w:val="single" w:color="auto" w:sz="4" w:space="0"/>
              <w:bottom w:val="single" w:color="auto" w:sz="4" w:space="0"/>
              <w:right w:val="single" w:color="auto" w:sz="4" w:space="0"/>
            </w:tcBorders>
            <w:shd w:val="clear" w:color="auto" w:fill="auto"/>
            <w:vAlign w:val="center"/>
          </w:tcPr>
          <w:p w14:paraId="04373F7E">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医学影像科</w:t>
            </w:r>
          </w:p>
        </w:tc>
        <w:tc>
          <w:tcPr>
            <w:tcW w:w="4199" w:type="dxa"/>
            <w:tcBorders>
              <w:top w:val="single" w:color="auto" w:sz="4" w:space="0"/>
              <w:left w:val="single" w:color="auto" w:sz="4" w:space="0"/>
              <w:bottom w:val="single" w:color="auto" w:sz="4" w:space="0"/>
              <w:right w:val="single" w:color="auto" w:sz="4" w:space="0"/>
            </w:tcBorders>
            <w:shd w:val="clear" w:color="auto" w:fill="auto"/>
            <w:vAlign w:val="center"/>
          </w:tcPr>
          <w:p w14:paraId="50C861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防磁监护仪</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46E88DD3">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2AF5DFE1">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30</w:t>
            </w:r>
          </w:p>
        </w:tc>
      </w:tr>
      <w:tr w14:paraId="1D4EF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283204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w:t>
            </w:r>
          </w:p>
        </w:tc>
        <w:tc>
          <w:tcPr>
            <w:tcW w:w="3017" w:type="dxa"/>
            <w:tcBorders>
              <w:top w:val="single" w:color="auto" w:sz="4" w:space="0"/>
              <w:left w:val="single" w:color="auto" w:sz="4" w:space="0"/>
              <w:bottom w:val="single" w:color="auto" w:sz="4" w:space="0"/>
              <w:right w:val="single" w:color="auto" w:sz="4" w:space="0"/>
            </w:tcBorders>
            <w:shd w:val="clear" w:color="auto" w:fill="auto"/>
            <w:vAlign w:val="center"/>
          </w:tcPr>
          <w:p w14:paraId="600D2B16">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医学影像科</w:t>
            </w:r>
          </w:p>
        </w:tc>
        <w:tc>
          <w:tcPr>
            <w:tcW w:w="4199" w:type="dxa"/>
            <w:tcBorders>
              <w:top w:val="single" w:color="auto" w:sz="4" w:space="0"/>
              <w:left w:val="single" w:color="auto" w:sz="4" w:space="0"/>
              <w:bottom w:val="single" w:color="auto" w:sz="4" w:space="0"/>
              <w:right w:val="single" w:color="auto" w:sz="4" w:space="0"/>
            </w:tcBorders>
            <w:shd w:val="clear" w:color="auto" w:fill="auto"/>
            <w:vAlign w:val="center"/>
          </w:tcPr>
          <w:p w14:paraId="6287E0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专业屏</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2A43805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9</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727E641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18</w:t>
            </w:r>
          </w:p>
        </w:tc>
      </w:tr>
      <w:tr w14:paraId="73CCF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6298B7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4</w:t>
            </w:r>
          </w:p>
        </w:tc>
        <w:tc>
          <w:tcPr>
            <w:tcW w:w="3017" w:type="dxa"/>
            <w:tcBorders>
              <w:top w:val="single" w:color="auto" w:sz="4" w:space="0"/>
              <w:left w:val="single" w:color="auto" w:sz="4" w:space="0"/>
              <w:bottom w:val="single" w:color="auto" w:sz="4" w:space="0"/>
              <w:right w:val="single" w:color="auto" w:sz="4" w:space="0"/>
            </w:tcBorders>
            <w:shd w:val="clear" w:color="auto" w:fill="auto"/>
            <w:vAlign w:val="center"/>
          </w:tcPr>
          <w:p w14:paraId="1FF2CAA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医学影像科</w:t>
            </w:r>
          </w:p>
        </w:tc>
        <w:tc>
          <w:tcPr>
            <w:tcW w:w="4199" w:type="dxa"/>
            <w:tcBorders>
              <w:top w:val="single" w:color="auto" w:sz="4" w:space="0"/>
              <w:left w:val="single" w:color="auto" w:sz="4" w:space="0"/>
              <w:bottom w:val="single" w:color="auto" w:sz="4" w:space="0"/>
              <w:right w:val="single" w:color="auto" w:sz="4" w:space="0"/>
            </w:tcBorders>
            <w:shd w:val="clear" w:color="auto" w:fill="auto"/>
            <w:vAlign w:val="center"/>
          </w:tcPr>
          <w:p w14:paraId="32AE7B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移动式防磁消毒设备</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0EF49DA7">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6A67ADC7">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r>
      <w:tr w14:paraId="59564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3E81CF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5</w:t>
            </w:r>
          </w:p>
        </w:tc>
        <w:tc>
          <w:tcPr>
            <w:tcW w:w="3017" w:type="dxa"/>
            <w:tcBorders>
              <w:top w:val="single" w:color="auto" w:sz="4" w:space="0"/>
              <w:left w:val="single" w:color="auto" w:sz="4" w:space="0"/>
              <w:bottom w:val="single" w:color="auto" w:sz="4" w:space="0"/>
              <w:right w:val="single" w:color="auto" w:sz="4" w:space="0"/>
            </w:tcBorders>
            <w:shd w:val="clear" w:color="auto" w:fill="auto"/>
            <w:vAlign w:val="center"/>
          </w:tcPr>
          <w:p w14:paraId="13FF98C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医学影像科</w:t>
            </w:r>
          </w:p>
        </w:tc>
        <w:tc>
          <w:tcPr>
            <w:tcW w:w="4199" w:type="dxa"/>
            <w:tcBorders>
              <w:top w:val="single" w:color="auto" w:sz="4" w:space="0"/>
              <w:left w:val="single" w:color="auto" w:sz="4" w:space="0"/>
              <w:bottom w:val="single" w:color="auto" w:sz="4" w:space="0"/>
              <w:right w:val="single" w:color="auto" w:sz="4" w:space="0"/>
            </w:tcBorders>
            <w:shd w:val="clear" w:color="auto" w:fill="auto"/>
            <w:vAlign w:val="center"/>
          </w:tcPr>
          <w:p w14:paraId="576A31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磁共振引导下超声聚焦刀</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45BCB01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0075F4C6">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600</w:t>
            </w:r>
          </w:p>
        </w:tc>
      </w:tr>
      <w:tr w14:paraId="1DDC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top w:val="single" w:color="auto" w:sz="4" w:space="0"/>
              <w:left w:val="single" w:color="auto" w:sz="4" w:space="0"/>
              <w:bottom w:val="single" w:color="auto" w:sz="4" w:space="0"/>
              <w:right w:val="single" w:color="auto" w:sz="4" w:space="0"/>
            </w:tcBorders>
            <w:shd w:val="clear" w:color="auto" w:fill="auto"/>
            <w:vAlign w:val="center"/>
          </w:tcPr>
          <w:p w14:paraId="0E8B58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6</w:t>
            </w:r>
          </w:p>
        </w:tc>
        <w:tc>
          <w:tcPr>
            <w:tcW w:w="3017" w:type="dxa"/>
            <w:tcBorders>
              <w:top w:val="single" w:color="auto" w:sz="4" w:space="0"/>
              <w:left w:val="single" w:color="auto" w:sz="4" w:space="0"/>
              <w:bottom w:val="single" w:color="auto" w:sz="4" w:space="0"/>
              <w:right w:val="single" w:color="auto" w:sz="4" w:space="0"/>
            </w:tcBorders>
            <w:shd w:val="clear" w:color="auto" w:fill="auto"/>
            <w:vAlign w:val="center"/>
          </w:tcPr>
          <w:p w14:paraId="5DA9DA2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医学影像科</w:t>
            </w:r>
          </w:p>
        </w:tc>
        <w:tc>
          <w:tcPr>
            <w:tcW w:w="4199" w:type="dxa"/>
            <w:tcBorders>
              <w:top w:val="single" w:color="auto" w:sz="4" w:space="0"/>
              <w:left w:val="single" w:color="auto" w:sz="4" w:space="0"/>
              <w:bottom w:val="single" w:color="auto" w:sz="4" w:space="0"/>
              <w:right w:val="single" w:color="auto" w:sz="4" w:space="0"/>
            </w:tcBorders>
            <w:shd w:val="clear" w:color="auto" w:fill="auto"/>
            <w:vAlign w:val="center"/>
          </w:tcPr>
          <w:p w14:paraId="20E7AB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自助胶片打印机</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414A70CD">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21B03F8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r>
    </w:tbl>
    <w:p w14:paraId="200E132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w:t>
      </w:r>
      <w:r>
        <w:rPr>
          <w:rFonts w:hint="default" w:ascii="方正仿宋简体" w:hAnsi="方正仿宋简体" w:eastAsia="方正仿宋简体" w:cs="方正仿宋简体"/>
          <w:b/>
          <w:bCs/>
          <w:color w:val="auto"/>
          <w:kern w:val="2"/>
          <w:sz w:val="28"/>
          <w:szCs w:val="28"/>
          <w:highlight w:val="none"/>
          <w:lang w:val="en-US" w:eastAsia="zh-CN" w:bidi="ar-SA"/>
        </w:rPr>
        <w:t>医学影像</w:t>
      </w:r>
      <w:r>
        <w:rPr>
          <w:rFonts w:hint="eastAsia" w:ascii="方正仿宋简体" w:hAnsi="方正仿宋简体" w:eastAsia="方正仿宋简体" w:cs="方正仿宋简体"/>
          <w:b/>
          <w:bCs/>
          <w:color w:val="auto"/>
          <w:kern w:val="2"/>
          <w:sz w:val="28"/>
          <w:szCs w:val="28"/>
          <w:highlight w:val="none"/>
          <w:lang w:val="en-US" w:eastAsia="zh-CN" w:bidi="ar-SA"/>
        </w:rPr>
        <w:t>科-磁共振金属探测门（含防磁监控）功能用途：</w:t>
      </w:r>
    </w:p>
    <w:p w14:paraId="02DBDB6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放于磁共振检查室门口，用于探测进入磁体间病人是否携带有金属物品，如有铁磁性物品报警提示。由于磁共振机房屏蔽要求，常规监控无法安装，需要在磁体间内安装防磁监控方便观察患者情况。</w:t>
      </w:r>
    </w:p>
    <w:p w14:paraId="2D1E008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BDDF4E6">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金属探测门：</w:t>
      </w:r>
    </w:p>
    <w:p w14:paraId="39BA12DF">
      <w:pPr>
        <w:keepNext w:val="0"/>
        <w:keepLines w:val="0"/>
        <w:pageBreakBefore w:val="0"/>
        <w:widowControl/>
        <w:numPr>
          <w:ilvl w:val="0"/>
          <w:numId w:val="9"/>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门两侧双柱探测，实时、自助式扫描功能，可视化智能报警，具有双模探测功能，支持同时提供高精度探测和通道监测模式；</w:t>
      </w:r>
    </w:p>
    <w:p w14:paraId="35CEDFFB">
      <w:pPr>
        <w:keepNext w:val="0"/>
        <w:keepLines w:val="0"/>
        <w:pageBreakBefore w:val="0"/>
        <w:widowControl/>
        <w:numPr>
          <w:ilvl w:val="0"/>
          <w:numId w:val="9"/>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全自动化运行，全年24小时开机;传感器灵敏度≥90%(Ⅱ类) ，数字化控制，连续无限级可调；</w:t>
      </w:r>
    </w:p>
    <w:p w14:paraId="79587B4A">
      <w:pPr>
        <w:keepNext w:val="0"/>
        <w:keepLines w:val="0"/>
        <w:pageBreakBefore w:val="0"/>
        <w:widowControl/>
        <w:numPr>
          <w:ilvl w:val="0"/>
          <w:numId w:val="9"/>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报警范围≤2米、音频音量可调节，只对铁磁物进入磁共振室时进行报警;视频联动功能，铁磁探测系统报警，监控同步报警，画面抖动，声音报警;</w:t>
      </w:r>
    </w:p>
    <w:p w14:paraId="251DAFB2">
      <w:pPr>
        <w:keepNext w:val="0"/>
        <w:keepLines w:val="0"/>
        <w:pageBreakBefore w:val="0"/>
        <w:widowControl/>
        <w:numPr>
          <w:ilvl w:val="0"/>
          <w:numId w:val="9"/>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支持播放磁共振安全宣教视频功能，手机APP 设置，具有蓝牙双向传输功能，可用于联网探测；高精度磁通门传感器，可提供多段报警区段，支持语音交互功能，工作人员可实时和候诊患者进行语音沟通。</w:t>
      </w:r>
    </w:p>
    <w:p w14:paraId="2DDD0ED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防磁监控：</w:t>
      </w:r>
    </w:p>
    <w:p w14:paraId="1D9CB24C">
      <w:pPr>
        <w:keepNext w:val="0"/>
        <w:keepLines w:val="0"/>
        <w:pageBreakBefore w:val="0"/>
        <w:widowControl/>
        <w:numPr>
          <w:ilvl w:val="0"/>
          <w:numId w:val="1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磁体间监控为防磁摄像头，不影响磁体屏蔽功能，支持≤3.0T核磁共振室使用；</w:t>
      </w:r>
    </w:p>
    <w:p w14:paraId="202AA0B5">
      <w:pPr>
        <w:keepNext w:val="0"/>
        <w:keepLines w:val="0"/>
        <w:pageBreakBefore w:val="0"/>
        <w:widowControl/>
        <w:numPr>
          <w:ilvl w:val="0"/>
          <w:numId w:val="1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焦距可选，镜头焦距8-50MM和2.8-12MM可选 ；水平清晰度，1080P；信噪比：40db，支持3D降噪；</w:t>
      </w:r>
    </w:p>
    <w:p w14:paraId="0101B2ED">
      <w:pPr>
        <w:keepNext w:val="0"/>
        <w:keepLines w:val="0"/>
        <w:pageBreakBefore w:val="0"/>
        <w:widowControl/>
        <w:numPr>
          <w:ilvl w:val="0"/>
          <w:numId w:val="1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录像方式：手动录像，定时录像，动测和报警录像等多种方式，可进行录像回放，即时和常规和事件等多种回放；</w:t>
      </w:r>
    </w:p>
    <w:p w14:paraId="13DDCAB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支持断网自动重连，业务功能，支持MJPEG抓图；日志记录；时钟同步，确记录和显示图像录制时间，自动白平衡调整，准确并重现出观察场景的实际色彩。联网功能 可接入铁磁探测系统，实现互联互通，报警提醒等，重要事件记录回放等功能。</w:t>
      </w:r>
    </w:p>
    <w:p w14:paraId="2BB32E86">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w:t>
      </w:r>
      <w:r>
        <w:rPr>
          <w:rFonts w:hint="default" w:ascii="方正仿宋简体" w:hAnsi="方正仿宋简体" w:eastAsia="方正仿宋简体" w:cs="方正仿宋简体"/>
          <w:b/>
          <w:bCs/>
          <w:color w:val="auto"/>
          <w:kern w:val="2"/>
          <w:sz w:val="28"/>
          <w:szCs w:val="28"/>
          <w:highlight w:val="none"/>
          <w:lang w:val="en-US" w:eastAsia="zh-CN" w:bidi="ar-SA"/>
        </w:rPr>
        <w:t>医学影像</w:t>
      </w:r>
      <w:r>
        <w:rPr>
          <w:rFonts w:hint="eastAsia" w:ascii="方正仿宋简体" w:hAnsi="方正仿宋简体" w:eastAsia="方正仿宋简体" w:cs="方正仿宋简体"/>
          <w:b/>
          <w:bCs/>
          <w:color w:val="auto"/>
          <w:kern w:val="2"/>
          <w:sz w:val="28"/>
          <w:szCs w:val="28"/>
          <w:highlight w:val="none"/>
          <w:lang w:val="en-US" w:eastAsia="zh-CN" w:bidi="ar-SA"/>
        </w:rPr>
        <w:t>科-防磁监护仪功能用途：</w:t>
      </w:r>
    </w:p>
    <w:p w14:paraId="3673642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用于重症患者在磁共振检查时生命体征的监测。</w:t>
      </w:r>
    </w:p>
    <w:p w14:paraId="5363893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74FBF7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3.0T专用磁兼容监护，适用于成人、小儿（含婴儿）进行磁共振检查期间同时监测心电、血氧饱和度、脉率、灌注指数和无创血压（NIBP）等指标；</w:t>
      </w:r>
      <w:r>
        <w:rPr>
          <w:rFonts w:hint="eastAsia" w:ascii="方正仿宋简体" w:hAnsi="方正仿宋简体" w:eastAsia="方正仿宋简体" w:cs="方正仿宋简体"/>
          <w:b/>
          <w:bCs/>
          <w:color w:val="auto"/>
          <w:kern w:val="2"/>
          <w:sz w:val="24"/>
          <w:szCs w:val="24"/>
          <w:lang w:val="en-US" w:eastAsia="zh-CN" w:bidi="ar-SA"/>
        </w:rPr>
        <w:t>需配套病人监护仪推车</w:t>
      </w:r>
      <w:r>
        <w:rPr>
          <w:rFonts w:hint="eastAsia" w:ascii="方正仿宋简体" w:hAnsi="方正仿宋简体" w:eastAsia="方正仿宋简体" w:cs="方正仿宋简体"/>
          <w:b w:val="0"/>
          <w:bCs w:val="0"/>
          <w:color w:val="auto"/>
          <w:kern w:val="2"/>
          <w:sz w:val="24"/>
          <w:szCs w:val="24"/>
          <w:lang w:val="en-US" w:eastAsia="zh-CN" w:bidi="ar-SA"/>
        </w:rPr>
        <w:t>。</w:t>
      </w:r>
    </w:p>
    <w:p w14:paraId="6CED565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w:t>
      </w:r>
      <w:r>
        <w:rPr>
          <w:rFonts w:hint="default" w:ascii="方正仿宋简体" w:hAnsi="方正仿宋简体" w:eastAsia="方正仿宋简体" w:cs="方正仿宋简体"/>
          <w:b/>
          <w:bCs/>
          <w:color w:val="auto"/>
          <w:kern w:val="2"/>
          <w:sz w:val="28"/>
          <w:szCs w:val="28"/>
          <w:highlight w:val="none"/>
          <w:lang w:val="en-US" w:eastAsia="zh-CN" w:bidi="ar-SA"/>
        </w:rPr>
        <w:t>医学影像</w:t>
      </w:r>
      <w:r>
        <w:rPr>
          <w:rFonts w:hint="eastAsia" w:ascii="方正仿宋简体" w:hAnsi="方正仿宋简体" w:eastAsia="方正仿宋简体" w:cs="方正仿宋简体"/>
          <w:b/>
          <w:bCs/>
          <w:color w:val="auto"/>
          <w:kern w:val="2"/>
          <w:sz w:val="28"/>
          <w:szCs w:val="28"/>
          <w:highlight w:val="none"/>
          <w:lang w:val="en-US" w:eastAsia="zh-CN" w:bidi="ar-SA"/>
        </w:rPr>
        <w:t>科-专业屏功能用途：</w:t>
      </w:r>
    </w:p>
    <w:p w14:paraId="4B3ACC8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专业显示屏在医生电子阅片时，可提供高分辨率图像，提高诊断准确性及效率。</w:t>
      </w:r>
    </w:p>
    <w:p w14:paraId="15B912F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2ADCFA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6M显示屏，对角线尺寸≥27"；分辨率≥3280×2048 。</w:t>
      </w:r>
    </w:p>
    <w:p w14:paraId="61847CD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w:t>
      </w:r>
      <w:r>
        <w:rPr>
          <w:rFonts w:hint="default" w:ascii="方正仿宋简体" w:hAnsi="方正仿宋简体" w:eastAsia="方正仿宋简体" w:cs="方正仿宋简体"/>
          <w:b/>
          <w:bCs/>
          <w:color w:val="auto"/>
          <w:kern w:val="2"/>
          <w:sz w:val="28"/>
          <w:szCs w:val="28"/>
          <w:highlight w:val="none"/>
          <w:lang w:val="en-US" w:eastAsia="zh-CN" w:bidi="ar-SA"/>
        </w:rPr>
        <w:t>医学影像</w:t>
      </w:r>
      <w:r>
        <w:rPr>
          <w:rFonts w:hint="eastAsia" w:ascii="方正仿宋简体" w:hAnsi="方正仿宋简体" w:eastAsia="方正仿宋简体" w:cs="方正仿宋简体"/>
          <w:b/>
          <w:bCs/>
          <w:color w:val="auto"/>
          <w:kern w:val="2"/>
          <w:sz w:val="28"/>
          <w:szCs w:val="28"/>
          <w:highlight w:val="none"/>
          <w:lang w:val="en-US" w:eastAsia="zh-CN" w:bidi="ar-SA"/>
        </w:rPr>
        <w:t>科-移动式防磁消毒设备功能用途：</w:t>
      </w:r>
    </w:p>
    <w:p w14:paraId="37D82A1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用于磁共振机房的紫外线消毒使用。</w:t>
      </w:r>
    </w:p>
    <w:p w14:paraId="419D26D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D587981">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sz w:val="24"/>
          <w:szCs w:val="24"/>
          <w:lang w:val="en-US" w:eastAsia="zh-CN"/>
        </w:rPr>
      </w:pPr>
      <w:r>
        <w:rPr>
          <w:rFonts w:hint="eastAsia" w:ascii="方正仿宋简体" w:hAnsi="方正仿宋简体" w:eastAsia="方正仿宋简体" w:cs="方正仿宋简体"/>
          <w:b w:val="0"/>
          <w:bCs w:val="0"/>
          <w:color w:val="auto"/>
          <w:kern w:val="2"/>
          <w:sz w:val="24"/>
          <w:szCs w:val="24"/>
          <w:lang w:val="en-US" w:eastAsia="zh-CN" w:bidi="ar-SA"/>
        </w:rPr>
        <w:t>防磁紫外线消毒灯，可在磁共振机房内使用，根据机房空间大小采购。</w:t>
      </w:r>
    </w:p>
    <w:p w14:paraId="48542E1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序号5、</w:t>
      </w:r>
      <w:r>
        <w:rPr>
          <w:rFonts w:hint="default" w:ascii="方正仿宋简体" w:hAnsi="方正仿宋简体" w:eastAsia="方正仿宋简体" w:cs="方正仿宋简体"/>
          <w:b/>
          <w:bCs/>
          <w:color w:val="auto"/>
          <w:kern w:val="2"/>
          <w:sz w:val="28"/>
          <w:szCs w:val="28"/>
          <w:highlight w:val="none"/>
          <w:lang w:val="en-US" w:eastAsia="zh-CN" w:bidi="ar-SA"/>
        </w:rPr>
        <w:t>医学影像</w:t>
      </w:r>
      <w:r>
        <w:rPr>
          <w:rFonts w:hint="eastAsia" w:ascii="方正仿宋简体" w:hAnsi="方正仿宋简体" w:eastAsia="方正仿宋简体" w:cs="方正仿宋简体"/>
          <w:b/>
          <w:bCs/>
          <w:color w:val="auto"/>
          <w:kern w:val="2"/>
          <w:sz w:val="28"/>
          <w:szCs w:val="28"/>
          <w:highlight w:val="none"/>
          <w:lang w:val="en-US" w:eastAsia="zh-CN" w:bidi="ar-SA"/>
        </w:rPr>
        <w:t>科-磁共振引导下超声聚焦刀设备功能用途：</w:t>
      </w:r>
    </w:p>
    <w:p w14:paraId="5D1AA13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非侵入性治疗，依托MRI精准定位病灶，聚焦超声产生高温消融病变组织；实时监测温度与组织反应，动态调整能量，保护正常组织，适用子宫肌瘤等病症治疗。</w:t>
      </w:r>
    </w:p>
    <w:p w14:paraId="2FB6C75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07C0F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超声频率650kHz-4MHz，额定声功率≥300W，焦域最大声强≥10000W/cm²；靶点定位精度＜1mm，支持相控阵聚焦；焦点温度60-85℃，测温误差≤2℃；具备电磁兼容、能量校正及禁区检测等安全防护功能。</w:t>
      </w:r>
    </w:p>
    <w:p w14:paraId="3FEA003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序号6、</w:t>
      </w:r>
      <w:r>
        <w:rPr>
          <w:rFonts w:hint="default" w:ascii="方正仿宋简体" w:hAnsi="方正仿宋简体" w:eastAsia="方正仿宋简体" w:cs="方正仿宋简体"/>
          <w:b/>
          <w:bCs/>
          <w:color w:val="auto"/>
          <w:kern w:val="2"/>
          <w:sz w:val="28"/>
          <w:szCs w:val="28"/>
          <w:highlight w:val="none"/>
          <w:lang w:val="en-US" w:eastAsia="zh-CN" w:bidi="ar-SA"/>
        </w:rPr>
        <w:t>医学影像</w:t>
      </w:r>
      <w:r>
        <w:rPr>
          <w:rFonts w:hint="eastAsia" w:ascii="方正仿宋简体" w:hAnsi="方正仿宋简体" w:eastAsia="方正仿宋简体" w:cs="方正仿宋简体"/>
          <w:b/>
          <w:bCs/>
          <w:color w:val="auto"/>
          <w:kern w:val="2"/>
          <w:sz w:val="28"/>
          <w:szCs w:val="28"/>
          <w:highlight w:val="none"/>
          <w:lang w:val="en-US" w:eastAsia="zh-CN" w:bidi="ar-SA"/>
        </w:rPr>
        <w:t>科-自助胶片打印机功能用途：</w:t>
      </w:r>
    </w:p>
    <w:p w14:paraId="29B1632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影像科检查打印患者胶片使用</w:t>
      </w:r>
      <w:r>
        <w:rPr>
          <w:rFonts w:hint="eastAsia" w:ascii="方正仿宋简体" w:hAnsi="方正仿宋简体" w:eastAsia="方正仿宋简体" w:cs="方正仿宋简体"/>
          <w:b w:val="0"/>
          <w:bCs w:val="0"/>
          <w:color w:val="auto"/>
          <w:kern w:val="2"/>
          <w:sz w:val="24"/>
          <w:szCs w:val="24"/>
          <w:lang w:val="en-US" w:eastAsia="zh-CN" w:bidi="ar-SA"/>
        </w:rPr>
        <w:t>。</w:t>
      </w:r>
    </w:p>
    <w:p w14:paraId="3BAA33F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967ACC8">
      <w:pPr>
        <w:pStyle w:val="2"/>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根据医院胶片供应商品牌决定，激光或者热敏打印机</w:t>
      </w:r>
      <w:r>
        <w:rPr>
          <w:rFonts w:hint="eastAsia" w:ascii="方正仿宋简体" w:hAnsi="方正仿宋简体" w:eastAsia="方正仿宋简体" w:cs="方正仿宋简体"/>
          <w:b w:val="0"/>
          <w:bCs w:val="0"/>
          <w:color w:val="auto"/>
          <w:kern w:val="2"/>
          <w:sz w:val="24"/>
          <w:szCs w:val="24"/>
          <w:lang w:val="en-US" w:eastAsia="zh-CN" w:bidi="ar-SA"/>
        </w:rPr>
        <w:t>。</w:t>
      </w:r>
    </w:p>
    <w:p w14:paraId="78F76C52">
      <w:pPr>
        <w:pStyle w:val="2"/>
        <w:rPr>
          <w:rFonts w:hint="eastAsia" w:ascii="方正仿宋简体" w:hAnsi="方正仿宋简体" w:eastAsia="方正仿宋简体" w:cs="方正仿宋简体"/>
          <w:b w:val="0"/>
          <w:bCs w:val="0"/>
          <w:color w:val="auto"/>
          <w:kern w:val="2"/>
          <w:sz w:val="24"/>
          <w:szCs w:val="24"/>
          <w:lang w:val="en-US" w:eastAsia="zh-CN" w:bidi="ar-SA"/>
        </w:rPr>
      </w:pPr>
    </w:p>
    <w:p w14:paraId="6E62A492">
      <w:pPr>
        <w:pStyle w:val="2"/>
        <w:rPr>
          <w:rFonts w:hint="eastAsia" w:ascii="方正仿宋简体" w:hAnsi="方正仿宋简体" w:eastAsia="方正仿宋简体" w:cs="方正仿宋简体"/>
          <w:b/>
          <w:bCs/>
          <w:color w:val="auto"/>
          <w:sz w:val="24"/>
          <w:szCs w:val="24"/>
          <w:lang w:val="en-US" w:eastAsia="zh-CN"/>
        </w:rPr>
      </w:pPr>
      <w:r>
        <w:rPr>
          <w:rFonts w:hint="eastAsia" w:ascii="方正仿宋简体" w:hAnsi="方正仿宋简体" w:eastAsia="方正仿宋简体" w:cs="方正仿宋简体"/>
          <w:b/>
          <w:bCs/>
          <w:color w:val="auto"/>
          <w:sz w:val="24"/>
          <w:szCs w:val="24"/>
          <w:lang w:val="en-US" w:eastAsia="zh-CN"/>
        </w:rPr>
        <w:t>包3：病房护理及医院设备</w:t>
      </w:r>
    </w:p>
    <w:tbl>
      <w:tblPr>
        <w:tblStyle w:val="17"/>
        <w:tblW w:w="10890" w:type="dxa"/>
        <w:tblInd w:w="-4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4275"/>
        <w:gridCol w:w="3700"/>
        <w:gridCol w:w="984"/>
        <w:gridCol w:w="1219"/>
      </w:tblGrid>
      <w:tr w14:paraId="28413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exact"/>
        </w:trPr>
        <w:tc>
          <w:tcPr>
            <w:tcW w:w="712" w:type="dxa"/>
            <w:tcBorders>
              <w:top w:val="single" w:color="auto" w:sz="4" w:space="0"/>
              <w:left w:val="single" w:color="auto" w:sz="4" w:space="0"/>
              <w:bottom w:val="single" w:color="auto" w:sz="4" w:space="0"/>
              <w:right w:val="single" w:color="000000" w:sz="4" w:space="0"/>
            </w:tcBorders>
            <w:shd w:val="clear" w:color="auto" w:fill="auto"/>
            <w:vAlign w:val="center"/>
          </w:tcPr>
          <w:p w14:paraId="2E34934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序号</w:t>
            </w:r>
          </w:p>
        </w:tc>
        <w:tc>
          <w:tcPr>
            <w:tcW w:w="4275" w:type="dxa"/>
            <w:tcBorders>
              <w:top w:val="single" w:color="auto" w:sz="4" w:space="0"/>
              <w:left w:val="single" w:color="000000" w:sz="4" w:space="0"/>
              <w:bottom w:val="single" w:color="auto" w:sz="4" w:space="0"/>
              <w:right w:val="single" w:color="auto" w:sz="4" w:space="0"/>
            </w:tcBorders>
            <w:shd w:val="clear" w:color="auto" w:fill="auto"/>
            <w:vAlign w:val="center"/>
          </w:tcPr>
          <w:p w14:paraId="1CF975D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科室</w:t>
            </w:r>
          </w:p>
        </w:tc>
        <w:tc>
          <w:tcPr>
            <w:tcW w:w="3700" w:type="dxa"/>
            <w:tcBorders>
              <w:top w:val="single" w:color="auto" w:sz="4" w:space="0"/>
              <w:left w:val="single" w:color="000000" w:sz="4" w:space="0"/>
              <w:bottom w:val="single" w:color="auto" w:sz="4" w:space="0"/>
              <w:right w:val="single" w:color="auto" w:sz="4" w:space="0"/>
            </w:tcBorders>
            <w:shd w:val="clear" w:color="auto" w:fill="auto"/>
            <w:vAlign w:val="center"/>
          </w:tcPr>
          <w:p w14:paraId="75EA7F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设备名称</w:t>
            </w:r>
          </w:p>
        </w:tc>
        <w:tc>
          <w:tcPr>
            <w:tcW w:w="984" w:type="dxa"/>
            <w:tcBorders>
              <w:top w:val="single" w:color="auto" w:sz="4" w:space="0"/>
              <w:left w:val="single" w:color="auto" w:sz="4" w:space="0"/>
              <w:bottom w:val="single" w:color="000000" w:sz="4" w:space="0"/>
              <w:right w:val="single" w:color="auto" w:sz="4" w:space="0"/>
            </w:tcBorders>
            <w:shd w:val="clear" w:color="auto" w:fill="auto"/>
            <w:vAlign w:val="center"/>
          </w:tcPr>
          <w:p w14:paraId="650FE3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需求数量    （台、套）</w:t>
            </w:r>
          </w:p>
        </w:tc>
        <w:tc>
          <w:tcPr>
            <w:tcW w:w="1219" w:type="dxa"/>
            <w:tcBorders>
              <w:top w:val="single" w:color="auto" w:sz="4" w:space="0"/>
              <w:left w:val="single" w:color="auto" w:sz="4" w:space="0"/>
              <w:bottom w:val="single" w:color="000000" w:sz="4" w:space="0"/>
              <w:right w:val="single" w:color="auto" w:sz="4" w:space="0"/>
            </w:tcBorders>
            <w:shd w:val="clear" w:color="auto" w:fill="auto"/>
            <w:vAlign w:val="center"/>
          </w:tcPr>
          <w:p w14:paraId="5C899E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预算价格  （万元）</w:t>
            </w:r>
          </w:p>
        </w:tc>
      </w:tr>
      <w:tr w14:paraId="1F68E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417C970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6C15E40B">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急诊</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146661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压缩雾化吸入机</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1066238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3F0C88C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0.84</w:t>
            </w:r>
          </w:p>
        </w:tc>
      </w:tr>
      <w:tr w14:paraId="2577E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exact"/>
        </w:trPr>
        <w:tc>
          <w:tcPr>
            <w:tcW w:w="712" w:type="dxa"/>
            <w:tcBorders>
              <w:left w:val="single" w:color="auto" w:sz="4" w:space="0"/>
              <w:bottom w:val="single" w:color="auto" w:sz="4" w:space="0"/>
              <w:right w:val="single" w:color="auto" w:sz="4" w:space="0"/>
            </w:tcBorders>
            <w:shd w:val="clear" w:color="auto" w:fill="auto"/>
            <w:vAlign w:val="center"/>
          </w:tcPr>
          <w:p w14:paraId="6B23CF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0E6BCB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急诊1台、产房1台、新生儿科1台、LDRP病区1台、产前病区1台、产后病区2台、妇科2台、综合外科1台</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192681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振荡器</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01DFA41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10</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6728C78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0.5</w:t>
            </w:r>
          </w:p>
        </w:tc>
      </w:tr>
      <w:tr w14:paraId="7A2EA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4" w:hRule="exact"/>
        </w:trPr>
        <w:tc>
          <w:tcPr>
            <w:tcW w:w="712" w:type="dxa"/>
            <w:tcBorders>
              <w:left w:val="single" w:color="auto" w:sz="4" w:space="0"/>
              <w:bottom w:val="single" w:color="auto" w:sz="4" w:space="0"/>
              <w:right w:val="single" w:color="auto" w:sz="4" w:space="0"/>
            </w:tcBorders>
            <w:shd w:val="clear" w:color="auto" w:fill="auto"/>
            <w:vAlign w:val="center"/>
          </w:tcPr>
          <w:p w14:paraId="6DCA59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64D6FD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产房1台、急诊1台、综合外科1台、新生儿科1台、LDRP病区1台、产后病区2台、产前病区1台、妇科2台</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15217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甩表机</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6BB3096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10</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14AF141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0.5</w:t>
            </w:r>
          </w:p>
        </w:tc>
      </w:tr>
      <w:tr w14:paraId="6371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6AC037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4</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5BE832D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317F5D0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医用保温柜</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10FA5AD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2EC990E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r>
      <w:tr w14:paraId="2E8AA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2D8CA8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5</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72FCF7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1A759B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血液回收机（配套耗材项目）</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48DF74D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658F56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r>
      <w:tr w14:paraId="6B49F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55EA7C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6</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179911A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2B609F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插管用光棒</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3B24144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15C1860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1.25</w:t>
            </w:r>
          </w:p>
        </w:tc>
      </w:tr>
      <w:tr w14:paraId="0AC30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6E0590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7</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4CC2D753">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4D21F1E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喉镜</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2413B58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54138CF6">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0.52</w:t>
            </w:r>
          </w:p>
        </w:tc>
      </w:tr>
      <w:tr w14:paraId="61A5B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7472DF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8</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1686371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4501BE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特殊喉镜</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5E0CB7AE">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640854B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r>
      <w:tr w14:paraId="5811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exact"/>
        </w:trPr>
        <w:tc>
          <w:tcPr>
            <w:tcW w:w="712" w:type="dxa"/>
            <w:tcBorders>
              <w:left w:val="single" w:color="auto" w:sz="4" w:space="0"/>
              <w:bottom w:val="single" w:color="auto" w:sz="4" w:space="0"/>
              <w:right w:val="single" w:color="auto" w:sz="4" w:space="0"/>
            </w:tcBorders>
            <w:shd w:val="clear" w:color="auto" w:fill="auto"/>
            <w:vAlign w:val="center"/>
          </w:tcPr>
          <w:p w14:paraId="15E1506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9</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130A8B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手术室8套、ICU 1套、抢救室1套</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248114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可视插管喉镜（配套耗材项目）</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6E4DC75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10</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24F537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0.1</w:t>
            </w:r>
          </w:p>
        </w:tc>
      </w:tr>
      <w:tr w14:paraId="3AF19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724C7E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10</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63E18AE3">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儿科PICU病区1套、儿科2套</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6FDC37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可视插管喉镜（配套耗材项目）</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4F99053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0774CF8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0.028</w:t>
            </w:r>
          </w:p>
        </w:tc>
      </w:tr>
      <w:tr w14:paraId="591E8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0E5570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11</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01A76FA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新生儿科5套、LDRP病区2套</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4F8F37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新生儿插管喉镜（配套耗材项目）</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4F199FE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7</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1B2E0A4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0.07</w:t>
            </w:r>
          </w:p>
        </w:tc>
      </w:tr>
      <w:tr w14:paraId="79EDE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exact"/>
        </w:trPr>
        <w:tc>
          <w:tcPr>
            <w:tcW w:w="712" w:type="dxa"/>
            <w:tcBorders>
              <w:left w:val="single" w:color="auto" w:sz="4" w:space="0"/>
              <w:bottom w:val="single" w:color="auto" w:sz="4" w:space="0"/>
              <w:right w:val="single" w:color="auto" w:sz="4" w:space="0"/>
            </w:tcBorders>
            <w:shd w:val="clear" w:color="auto" w:fill="auto"/>
            <w:vAlign w:val="center"/>
          </w:tcPr>
          <w:p w14:paraId="6D4928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12</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033DC49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default" w:ascii="方正仿宋简体" w:hAnsi="方正仿宋简体" w:eastAsia="方正仿宋简体" w:cs="方正仿宋简体"/>
                <w:i w:val="0"/>
                <w:iCs w:val="0"/>
                <w:color w:val="000000"/>
                <w:kern w:val="0"/>
                <w:sz w:val="24"/>
                <w:szCs w:val="24"/>
                <w:highlight w:val="none"/>
                <w:u w:val="none"/>
                <w:lang w:val="en-US" w:eastAsia="zh-CN" w:bidi="ar"/>
              </w:rPr>
              <w:t>产房</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39A58D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成人插管喉镜及复苏囊（一次性气管插管、面罩配套耗材）</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2F89065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20DF4C8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r>
      <w:tr w14:paraId="3258C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exact"/>
        </w:trPr>
        <w:tc>
          <w:tcPr>
            <w:tcW w:w="712" w:type="dxa"/>
            <w:tcBorders>
              <w:left w:val="single" w:color="auto" w:sz="4" w:space="0"/>
              <w:bottom w:val="single" w:color="auto" w:sz="4" w:space="0"/>
              <w:right w:val="single" w:color="auto" w:sz="4" w:space="0"/>
            </w:tcBorders>
            <w:shd w:val="clear" w:color="auto" w:fill="auto"/>
            <w:vAlign w:val="center"/>
          </w:tcPr>
          <w:p w14:paraId="76C83F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13</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255E568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default" w:ascii="方正仿宋简体" w:hAnsi="方正仿宋简体" w:eastAsia="方正仿宋简体" w:cs="方正仿宋简体"/>
                <w:i w:val="0"/>
                <w:iCs w:val="0"/>
                <w:color w:val="000000"/>
                <w:kern w:val="0"/>
                <w:sz w:val="24"/>
                <w:szCs w:val="24"/>
                <w:highlight w:val="none"/>
                <w:u w:val="none"/>
                <w:lang w:val="en-US" w:eastAsia="zh-CN" w:bidi="ar"/>
              </w:rPr>
              <w:t>产房</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088A39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新生儿插管喉镜及复苏囊（一次性气管插管、面罩）</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3606BEFB">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7</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253A910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7</w:t>
            </w:r>
          </w:p>
        </w:tc>
      </w:tr>
      <w:tr w14:paraId="3802E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29C5BE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14</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3376FDE3">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抢救室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FDFC79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恒温箱</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0CD45B4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588864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1.78</w:t>
            </w:r>
          </w:p>
        </w:tc>
      </w:tr>
      <w:tr w14:paraId="5AC9F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4ED575C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15</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3F376027">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全院</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2A969D5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治疗盘等器械治疗包</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78FBC761">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100</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A728A4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r>
      <w:tr w14:paraId="41DE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1ED450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16</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46FA1D7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产房</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0DEC7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自体备血仪器</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11E72D1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7A02FC48">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r>
      <w:tr w14:paraId="65084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exact"/>
        </w:trPr>
        <w:tc>
          <w:tcPr>
            <w:tcW w:w="712" w:type="dxa"/>
            <w:tcBorders>
              <w:left w:val="single" w:color="auto" w:sz="4" w:space="0"/>
              <w:bottom w:val="single" w:color="auto" w:sz="4" w:space="0"/>
              <w:right w:val="single" w:color="auto" w:sz="4" w:space="0"/>
            </w:tcBorders>
            <w:shd w:val="clear" w:color="auto" w:fill="auto"/>
            <w:vAlign w:val="center"/>
          </w:tcPr>
          <w:p w14:paraId="7BFBA8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17</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510756E7">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手术室2台、妇科门诊手术室1台</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4AD8578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膜式电动吸引器</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51F0915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00D096C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1.8</w:t>
            </w:r>
          </w:p>
        </w:tc>
      </w:tr>
      <w:tr w14:paraId="60507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6" w:hRule="exact"/>
        </w:trPr>
        <w:tc>
          <w:tcPr>
            <w:tcW w:w="712" w:type="dxa"/>
            <w:tcBorders>
              <w:left w:val="single" w:color="auto" w:sz="4" w:space="0"/>
              <w:bottom w:val="single" w:color="auto" w:sz="4" w:space="0"/>
              <w:right w:val="single" w:color="auto" w:sz="4" w:space="0"/>
            </w:tcBorders>
            <w:shd w:val="clear" w:color="auto" w:fill="auto"/>
            <w:vAlign w:val="center"/>
          </w:tcPr>
          <w:p w14:paraId="5D6584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18</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178E6D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儿科PICU病区1台、儿科2台、生殖中心1台、妇科2台、医学影像科1台</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70810B0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电动吸引器（负压）</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16E2F69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7</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1A92959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0.94</w:t>
            </w:r>
          </w:p>
        </w:tc>
      </w:tr>
      <w:tr w14:paraId="64FE8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64C664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19</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19F66C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妇科门诊手术室3台、产房2台</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3277F4D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电动人流吸引器</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6CC9D6AB">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0D4A2B7A">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0.65</w:t>
            </w:r>
          </w:p>
        </w:tc>
      </w:tr>
      <w:tr w14:paraId="0EFCD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exact"/>
        </w:trPr>
        <w:tc>
          <w:tcPr>
            <w:tcW w:w="712" w:type="dxa"/>
            <w:tcBorders>
              <w:left w:val="single" w:color="auto" w:sz="4" w:space="0"/>
              <w:bottom w:val="single" w:color="auto" w:sz="4" w:space="0"/>
              <w:right w:val="single" w:color="auto" w:sz="4" w:space="0"/>
            </w:tcBorders>
            <w:shd w:val="clear" w:color="auto" w:fill="auto"/>
            <w:vAlign w:val="center"/>
          </w:tcPr>
          <w:p w14:paraId="02D121E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20</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6E2F7C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新生儿科6台、产前病区1台、产后病区1台、LDRP病区1台</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4A3F1B2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电动吸引器（配套耗材项目）</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6309DBA4">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9</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02AE495D">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1.17</w:t>
            </w:r>
          </w:p>
        </w:tc>
      </w:tr>
      <w:tr w14:paraId="143EF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240FB3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21</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1AECF189">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新生儿科</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2D80DB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经皮氧二氧化碳仪</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52715B4B">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7E8DF73">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67</w:t>
            </w:r>
          </w:p>
        </w:tc>
      </w:tr>
      <w:tr w14:paraId="34791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3AE369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22</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095FB81C">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highlight w:val="none"/>
                <w:u w:val="none"/>
                <w:lang w:val="en-US" w:eastAsia="zh-CN" w:bidi="ar"/>
              </w:rPr>
            </w:pPr>
            <w:r>
              <w:rPr>
                <w:rFonts w:hint="eastAsia" w:ascii="方正仿宋简体" w:hAnsi="方正仿宋简体" w:eastAsia="方正仿宋简体" w:cs="方正仿宋简体"/>
                <w:i w:val="0"/>
                <w:iCs w:val="0"/>
                <w:color w:val="000000"/>
                <w:kern w:val="0"/>
                <w:sz w:val="24"/>
                <w:szCs w:val="24"/>
                <w:highlight w:val="none"/>
                <w:u w:val="none"/>
                <w:lang w:val="en-US" w:eastAsia="zh-CN" w:bidi="ar"/>
              </w:rPr>
              <w:t>ICU</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236E7B9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移动吸痰器</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1B1B2AC5">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6CC9673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0.2</w:t>
            </w:r>
          </w:p>
        </w:tc>
      </w:tr>
      <w:tr w14:paraId="6A67F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10CF7C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23</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4DD69B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新生儿科</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3D95C0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空氧混合仪</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4FE774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15</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1D3B8E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6.75</w:t>
            </w:r>
          </w:p>
        </w:tc>
      </w:tr>
      <w:tr w14:paraId="20C22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4A25F5F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24</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34035C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新生儿科</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36176F7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超净台</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634FD4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7FBE94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0.55</w:t>
            </w:r>
          </w:p>
        </w:tc>
      </w:tr>
      <w:tr w14:paraId="20EA5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16C679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25</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44E74F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LDRP病区</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D3C84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输血加压器</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379F660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7385C4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0.02</w:t>
            </w:r>
          </w:p>
        </w:tc>
      </w:tr>
      <w:tr w14:paraId="56A27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151FCC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26</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54C8DC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新生儿科2台、LDRP病区2台</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20E7D8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电动吸乳器（配套耗材项目）</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169E6B4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6B1B10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1.6</w:t>
            </w:r>
          </w:p>
        </w:tc>
      </w:tr>
      <w:tr w14:paraId="154DA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157807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27</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1F6DB4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产后病区</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BE670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医用级吸奶器（配套耗材项目）</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7E3F75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2BF10C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0.8</w:t>
            </w:r>
          </w:p>
        </w:tc>
      </w:tr>
      <w:tr w14:paraId="78759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50B1DC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28</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3AF13F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产后病区</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275C95D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温奶器</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5CDF8BF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17DF22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0.04</w:t>
            </w:r>
          </w:p>
        </w:tc>
      </w:tr>
      <w:tr w14:paraId="2B41E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488E95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29</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4259DE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产前病区</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64F2A81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卵圆钳（宫颈钳）</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1681720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14572C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0.04</w:t>
            </w:r>
          </w:p>
        </w:tc>
      </w:tr>
      <w:tr w14:paraId="3948B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7FB8B94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30</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114E9B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儿科</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01971C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悬浮翻身床垫</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2A97386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23E893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w:t>
            </w:r>
          </w:p>
        </w:tc>
      </w:tr>
      <w:tr w14:paraId="3FE53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7EEE0D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31</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558EB3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产房</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9FD82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电动分娩床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0A58B2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3796DB4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60</w:t>
            </w:r>
          </w:p>
        </w:tc>
      </w:tr>
      <w:tr w14:paraId="175BA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712" w:type="dxa"/>
            <w:tcBorders>
              <w:left w:val="single" w:color="auto" w:sz="4" w:space="0"/>
              <w:bottom w:val="single" w:color="auto" w:sz="4" w:space="0"/>
              <w:right w:val="single" w:color="auto" w:sz="4" w:space="0"/>
            </w:tcBorders>
            <w:shd w:val="clear" w:color="auto" w:fill="auto"/>
            <w:vAlign w:val="center"/>
          </w:tcPr>
          <w:p w14:paraId="2851326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32</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616753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生殖中心</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3B9118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恒温试管架</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5B3123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516CB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r>
      <w:tr w14:paraId="2E03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70C8FE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33</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357F59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LDRP病区1台、产后病区2台</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34650B9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医用转移车</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39C7DA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4EFB9B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1.47</w:t>
            </w:r>
          </w:p>
        </w:tc>
      </w:tr>
      <w:tr w14:paraId="7CB2F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2" w:hRule="exact"/>
        </w:trPr>
        <w:tc>
          <w:tcPr>
            <w:tcW w:w="712" w:type="dxa"/>
            <w:tcBorders>
              <w:left w:val="single" w:color="auto" w:sz="4" w:space="0"/>
              <w:bottom w:val="single" w:color="auto" w:sz="4" w:space="0"/>
              <w:right w:val="single" w:color="auto" w:sz="4" w:space="0"/>
            </w:tcBorders>
            <w:shd w:val="clear" w:color="auto" w:fill="auto"/>
            <w:vAlign w:val="center"/>
          </w:tcPr>
          <w:p w14:paraId="2FFDFF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34</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39E6A47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手术室10个、妇科门诊手术室4个、计生及妇科门诊手术室2个</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0140DA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电动输液架</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7DB808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16</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2950B1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6.6</w:t>
            </w:r>
          </w:p>
        </w:tc>
      </w:tr>
      <w:tr w14:paraId="3C50A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2" w:hRule="exact"/>
        </w:trPr>
        <w:tc>
          <w:tcPr>
            <w:tcW w:w="712" w:type="dxa"/>
            <w:tcBorders>
              <w:left w:val="single" w:color="auto" w:sz="4" w:space="0"/>
              <w:bottom w:val="single" w:color="auto" w:sz="4" w:space="0"/>
              <w:right w:val="single" w:color="auto" w:sz="4" w:space="0"/>
            </w:tcBorders>
            <w:shd w:val="clear" w:color="auto" w:fill="auto"/>
            <w:vAlign w:val="center"/>
          </w:tcPr>
          <w:p w14:paraId="4846EC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35</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73E90F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医学影像科1个、产房15个、新生儿科10个、LDRP病区5个、产前病区3个、产后病区6个、儿科PICU病区2个、儿科6个、妇科20个、综合外科15个、生殖中心2个</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C63B1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移动输液架</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623A7E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85</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2EC3E20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3.704</w:t>
            </w:r>
          </w:p>
        </w:tc>
      </w:tr>
      <w:tr w14:paraId="021E8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exact"/>
        </w:trPr>
        <w:tc>
          <w:tcPr>
            <w:tcW w:w="712" w:type="dxa"/>
            <w:tcBorders>
              <w:left w:val="single" w:color="auto" w:sz="4" w:space="0"/>
              <w:bottom w:val="single" w:color="auto" w:sz="4" w:space="0"/>
              <w:right w:val="single" w:color="auto" w:sz="4" w:space="0"/>
            </w:tcBorders>
            <w:shd w:val="clear" w:color="auto" w:fill="auto"/>
            <w:vAlign w:val="center"/>
          </w:tcPr>
          <w:p w14:paraId="18C487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36</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7788581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产科门诊3个、妇科门诊18个、妇科2个、LDRP病区1个、产前病区1个、伤口室1个、综合外科1个、生殖中心3个</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318BE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站灯</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0F2D44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30</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27FAD9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4.88</w:t>
            </w:r>
          </w:p>
        </w:tc>
      </w:tr>
      <w:tr w14:paraId="5B27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0087AE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37</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0D2AC8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儿科PICU病区</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8E4EA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推床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2798DA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677732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0.2</w:t>
            </w:r>
          </w:p>
        </w:tc>
      </w:tr>
      <w:tr w14:paraId="03317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1B335AA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38</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57EA1CE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产后病区</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1F5CAFE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诊查床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7994EA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5BCEEF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r>
      <w:tr w14:paraId="244B9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17F792A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39</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129BDBB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儿科病区</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14D449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诊查床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15D2F9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584552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0.2</w:t>
            </w:r>
          </w:p>
        </w:tc>
      </w:tr>
      <w:tr w14:paraId="4B55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70FCCA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40</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6018F29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生殖中心</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0355372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男科检查床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50E71CD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0391E08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0.2</w:t>
            </w:r>
          </w:p>
        </w:tc>
      </w:tr>
      <w:tr w14:paraId="7823B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2A31A9E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41</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32E1F79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妇科门诊手术室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3C71F4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妇科检查台</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012D74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0BD082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1.5</w:t>
            </w:r>
          </w:p>
        </w:tc>
      </w:tr>
      <w:tr w14:paraId="522E6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exact"/>
        </w:trPr>
        <w:tc>
          <w:tcPr>
            <w:tcW w:w="712" w:type="dxa"/>
            <w:tcBorders>
              <w:left w:val="single" w:color="auto" w:sz="4" w:space="0"/>
              <w:bottom w:val="single" w:color="auto" w:sz="4" w:space="0"/>
              <w:right w:val="single" w:color="auto" w:sz="4" w:space="0"/>
            </w:tcBorders>
            <w:shd w:val="clear" w:color="auto" w:fill="auto"/>
            <w:vAlign w:val="center"/>
          </w:tcPr>
          <w:p w14:paraId="06DF92D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42</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4B0F177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妇科病区2张、妇科门诊13张、产科门诊3张、产前病区1张</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7A42F23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妇科检查床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5A2601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19</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348937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5.58</w:t>
            </w:r>
          </w:p>
        </w:tc>
      </w:tr>
      <w:tr w14:paraId="0F7CC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03BF0EC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43</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0F5159E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产科门诊</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6A3D1CB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产科检查床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1E4F50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5F6B4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1.2</w:t>
            </w:r>
          </w:p>
        </w:tc>
      </w:tr>
      <w:tr w14:paraId="22539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1BD9881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44</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51381EC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妇保设备-共有设施设备</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1A7953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医用诊疗床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3DB8090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26</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25DBA6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5.2</w:t>
            </w:r>
          </w:p>
        </w:tc>
      </w:tr>
      <w:tr w14:paraId="7B5A4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791E33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45</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3B36C90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医学影像科</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0ED4F5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过床滑板</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55DF0E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3DDBB1D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0.08</w:t>
            </w:r>
          </w:p>
        </w:tc>
      </w:tr>
      <w:tr w14:paraId="55C95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5E59C56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46</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6CF454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妇产科超声室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33D3A8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超声检查床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07B22FF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717B12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2.5</w:t>
            </w:r>
          </w:p>
        </w:tc>
      </w:tr>
      <w:tr w14:paraId="0B7BE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6BCD9C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47</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23EC20F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生殖中心</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4EA42A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妇科手术床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43B22B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5CF6B40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33</w:t>
            </w:r>
          </w:p>
        </w:tc>
      </w:tr>
      <w:tr w14:paraId="2A933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16E5CB5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48</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537994D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超声医学科</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5F547EC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超声检查床</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2AD19E0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74C470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2.4</w:t>
            </w:r>
          </w:p>
        </w:tc>
      </w:tr>
      <w:tr w14:paraId="594F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4D54DA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49</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52CAAE4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超声医学科</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422AD7A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医用诊疗椅</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58EC072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08CEE2F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1.5</w:t>
            </w:r>
          </w:p>
        </w:tc>
      </w:tr>
      <w:tr w14:paraId="64CD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781C86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50</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0C9D52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43CF86C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变温毯（配套耗材）</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3B0E3C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7</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43D0FFE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25.9</w:t>
            </w:r>
          </w:p>
        </w:tc>
      </w:tr>
      <w:tr w14:paraId="5679E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4143DE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51</w:t>
            </w:r>
          </w:p>
        </w:tc>
        <w:tc>
          <w:tcPr>
            <w:tcW w:w="4275" w:type="dxa"/>
            <w:tcBorders>
              <w:top w:val="single" w:color="auto" w:sz="4" w:space="0"/>
              <w:left w:val="single" w:color="auto" w:sz="4" w:space="0"/>
              <w:bottom w:val="single" w:color="auto" w:sz="4" w:space="0"/>
              <w:right w:val="single" w:color="auto" w:sz="4" w:space="0"/>
            </w:tcBorders>
            <w:shd w:val="clear" w:color="auto" w:fill="auto"/>
            <w:vAlign w:val="center"/>
          </w:tcPr>
          <w:p w14:paraId="45BD172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3700" w:type="dxa"/>
            <w:tcBorders>
              <w:top w:val="single" w:color="auto" w:sz="4" w:space="0"/>
              <w:left w:val="single" w:color="auto" w:sz="4" w:space="0"/>
              <w:bottom w:val="single" w:color="auto" w:sz="4" w:space="0"/>
              <w:right w:val="single" w:color="auto" w:sz="4" w:space="0"/>
            </w:tcBorders>
            <w:shd w:val="clear" w:color="auto" w:fill="auto"/>
            <w:vAlign w:val="center"/>
          </w:tcPr>
          <w:p w14:paraId="644718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default" w:ascii="方正仿宋简体" w:hAnsi="方正仿宋简体" w:eastAsia="方正仿宋简体" w:cs="方正仿宋简体"/>
                <w:i w:val="0"/>
                <w:iCs w:val="0"/>
                <w:color w:val="000000"/>
                <w:kern w:val="0"/>
                <w:sz w:val="24"/>
                <w:szCs w:val="24"/>
                <w:u w:val="none"/>
                <w:lang w:val="en-US" w:eastAsia="zh-CN" w:bidi="ar"/>
              </w:rPr>
              <w:t>医用加压器及其配件（妇科水泵）</w:t>
            </w:r>
          </w:p>
        </w:tc>
        <w:tc>
          <w:tcPr>
            <w:tcW w:w="984" w:type="dxa"/>
            <w:tcBorders>
              <w:top w:val="single" w:color="000000" w:sz="4" w:space="0"/>
              <w:left w:val="single" w:color="auto" w:sz="4" w:space="0"/>
              <w:bottom w:val="single" w:color="000000" w:sz="4" w:space="0"/>
              <w:right w:val="single" w:color="auto" w:sz="4" w:space="0"/>
            </w:tcBorders>
            <w:shd w:val="clear" w:color="auto" w:fill="auto"/>
            <w:vAlign w:val="center"/>
          </w:tcPr>
          <w:p w14:paraId="7D43D3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219" w:type="dxa"/>
            <w:tcBorders>
              <w:top w:val="single" w:color="000000" w:sz="4" w:space="0"/>
              <w:left w:val="single" w:color="auto" w:sz="4" w:space="0"/>
              <w:bottom w:val="single" w:color="000000" w:sz="4" w:space="0"/>
              <w:right w:val="single" w:color="auto" w:sz="4" w:space="0"/>
            </w:tcBorders>
            <w:shd w:val="clear" w:color="auto" w:fill="auto"/>
            <w:vAlign w:val="center"/>
          </w:tcPr>
          <w:p w14:paraId="53EB29F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2.8</w:t>
            </w:r>
          </w:p>
        </w:tc>
      </w:tr>
    </w:tbl>
    <w:p w14:paraId="56157ACD">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序号1、急诊-压缩雾化吸入机功能用途：</w:t>
      </w:r>
    </w:p>
    <w:p w14:paraId="76A15B8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对肺炎、哮喘、化痰患者实施雾化吸入治疗。</w:t>
      </w:r>
    </w:p>
    <w:p w14:paraId="0A3EDDF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CEDF8A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配备新生儿、婴幼儿、学龄儿童及成人（孕产妇）专用面罩 / 咬嘴，面罩采用柔软医用硅胶材质，贴合面部且无压迫感。可调节雾化吸入速率。机身轻量化，噪音小。内置蓄电池：支持断电后持续工作（续航≥2 小时）。药杯、面罩、导管等配件可完全拆卸，耐受高温高压消毒或消毒液浸泡，避免交叉感染。</w:t>
      </w:r>
    </w:p>
    <w:p w14:paraId="6969EC3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序号2、急诊、产房、新生儿科、LDRP病区、产前病区、产后病区、妇科、综合外科-振荡器功能用途：</w:t>
      </w:r>
    </w:p>
    <w:p w14:paraId="406AD35F">
      <w:pPr>
        <w:keepNext w:val="0"/>
        <w:keepLines w:val="0"/>
        <w:pageBreakBefore w:val="0"/>
        <w:widowControl/>
        <w:numPr>
          <w:ilvl w:val="0"/>
          <w:numId w:val="11"/>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用于检验科或产房实验室中血液、尿液、试剂等样本的混匀操作，通过振荡使样本均匀分布，确保检测结果准确性；</w:t>
      </w:r>
    </w:p>
    <w:p w14:paraId="0A8FC669">
      <w:pPr>
        <w:keepNext w:val="0"/>
        <w:keepLines w:val="0"/>
        <w:pageBreakBefore w:val="0"/>
        <w:widowControl/>
        <w:numPr>
          <w:ilvl w:val="0"/>
          <w:numId w:val="11"/>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用于使药粉快速地溶解，使其与溶剂充分混匀，提高配药效率和溶解均匀度，常用于辅助药物配置，如紫杉醇药液的配置。</w:t>
      </w:r>
    </w:p>
    <w:p w14:paraId="0E15AA6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B7C6B1E">
      <w:pPr>
        <w:keepNext w:val="0"/>
        <w:keepLines w:val="0"/>
        <w:pageBreakBefore w:val="0"/>
        <w:widowControl/>
        <w:numPr>
          <w:ilvl w:val="0"/>
          <w:numId w:val="12"/>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通过夹具或托盘设计，可同时容纳多种规格的输液袋（软袋）、输液瓶（玻璃瓶 / 塑料瓶）及注射器，满足批量配置需求，</w:t>
      </w:r>
      <w:r>
        <w:rPr>
          <w:rFonts w:hint="eastAsia" w:ascii="方正仿宋简体" w:hAnsi="方正仿宋简体" w:eastAsia="方正仿宋简体" w:cs="方正仿宋简体"/>
          <w:b w:val="0"/>
          <w:bCs w:val="0"/>
          <w:color w:val="auto"/>
          <w:kern w:val="2"/>
          <w:sz w:val="24"/>
          <w:szCs w:val="24"/>
          <w:highlight w:val="none"/>
          <w:lang w:val="en-US" w:eastAsia="zh-CN" w:bidi="ar-SA"/>
        </w:rPr>
        <w:t>振荡托盘采用防滑、耐腐蚀材质，与药品接触部件应符合无毒、耐腐蚀要求</w:t>
      </w:r>
      <w:r>
        <w:rPr>
          <w:rFonts w:hint="eastAsia" w:ascii="方正仿宋简体" w:hAnsi="方正仿宋简体" w:eastAsia="方正仿宋简体" w:cs="方正仿宋简体"/>
          <w:b w:val="0"/>
          <w:bCs w:val="0"/>
          <w:color w:val="auto"/>
          <w:kern w:val="2"/>
          <w:sz w:val="24"/>
          <w:szCs w:val="24"/>
          <w:lang w:val="en-US" w:eastAsia="zh-CN" w:bidi="ar-SA"/>
        </w:rPr>
        <w:t>；</w:t>
      </w:r>
    </w:p>
    <w:p w14:paraId="471B075F">
      <w:pPr>
        <w:keepNext w:val="0"/>
        <w:keepLines w:val="0"/>
        <w:pageBreakBefore w:val="0"/>
        <w:widowControl/>
        <w:numPr>
          <w:ilvl w:val="0"/>
          <w:numId w:val="12"/>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具备点动 / 定时两种工作模式，操作面板直观，便于医护人员快速设置，噪音≤50dB；</w:t>
      </w:r>
    </w:p>
    <w:p w14:paraId="407C623D">
      <w:pPr>
        <w:keepNext w:val="0"/>
        <w:keepLines w:val="0"/>
        <w:pageBreakBefore w:val="0"/>
        <w:widowControl/>
        <w:numPr>
          <w:ilvl w:val="0"/>
          <w:numId w:val="12"/>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有多种振荡模式（如涡旋、水平），工作平台防滑，可适配套架固定不同规格容器，多种试管架、微孔板；</w:t>
      </w:r>
    </w:p>
    <w:p w14:paraId="2320490A">
      <w:pPr>
        <w:keepNext w:val="0"/>
        <w:keepLines w:val="0"/>
        <w:pageBreakBefore w:val="0"/>
        <w:widowControl/>
        <w:numPr>
          <w:ilvl w:val="0"/>
          <w:numId w:val="12"/>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可同时容纳≥12个不同规格（如5ml-20ml）的西林瓶进行同步振荡；</w:t>
      </w:r>
    </w:p>
    <w:p w14:paraId="678EBF06">
      <w:pPr>
        <w:keepNext w:val="0"/>
        <w:keepLines w:val="0"/>
        <w:pageBreakBefore w:val="0"/>
        <w:widowControl/>
        <w:numPr>
          <w:ilvl w:val="0"/>
          <w:numId w:val="12"/>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4"/>
          <w:szCs w:val="24"/>
          <w:lang w:val="en-US" w:eastAsia="zh-CN" w:bidi="ar-SA"/>
        </w:rPr>
        <w:t>其中，产房需求</w:t>
      </w:r>
      <w:r>
        <w:rPr>
          <w:rFonts w:hint="eastAsia" w:ascii="方正仿宋简体" w:hAnsi="方正仿宋简体" w:eastAsia="方正仿宋简体" w:cs="方正仿宋简体"/>
          <w:b w:val="0"/>
          <w:bCs w:val="0"/>
          <w:color w:val="auto"/>
          <w:kern w:val="2"/>
          <w:sz w:val="24"/>
          <w:szCs w:val="24"/>
          <w:lang w:val="en-US" w:eastAsia="zh-CN" w:bidi="ar-SA"/>
        </w:rPr>
        <w:t>振荡方式：圆周或往复式，转速范围0-300rpm可调，振幅20-40mm，定时范围0-120分钟；</w:t>
      </w:r>
      <w:r>
        <w:rPr>
          <w:rFonts w:hint="eastAsia" w:ascii="方正仿宋简体" w:hAnsi="方正仿宋简体" w:eastAsia="方正仿宋简体" w:cs="方正仿宋简体"/>
          <w:b/>
          <w:bCs/>
          <w:color w:val="auto"/>
          <w:kern w:val="2"/>
          <w:sz w:val="24"/>
          <w:szCs w:val="24"/>
          <w:lang w:val="en-US" w:eastAsia="zh-CN" w:bidi="ar-SA"/>
        </w:rPr>
        <w:t>综合外科需求</w:t>
      </w:r>
      <w:r>
        <w:rPr>
          <w:rFonts w:hint="eastAsia" w:ascii="方正仿宋简体" w:hAnsi="方正仿宋简体" w:eastAsia="方正仿宋简体" w:cs="方正仿宋简体"/>
          <w:b w:val="0"/>
          <w:bCs w:val="0"/>
          <w:color w:val="auto"/>
          <w:kern w:val="2"/>
          <w:sz w:val="24"/>
          <w:szCs w:val="24"/>
          <w:lang w:val="en-US" w:eastAsia="zh-CN" w:bidi="ar-SA"/>
        </w:rPr>
        <w:t>振幅:≤8mm，振荡频率:≤1250次/分钟；</w:t>
      </w:r>
      <w:r>
        <w:rPr>
          <w:rFonts w:hint="eastAsia" w:ascii="方正仿宋简体" w:hAnsi="方正仿宋简体" w:eastAsia="方正仿宋简体" w:cs="方正仿宋简体"/>
          <w:b/>
          <w:bCs/>
          <w:color w:val="auto"/>
          <w:kern w:val="2"/>
          <w:sz w:val="24"/>
          <w:szCs w:val="24"/>
          <w:lang w:val="en-US" w:eastAsia="zh-CN" w:bidi="ar-SA"/>
        </w:rPr>
        <w:t>新生儿科、LDRP病区、产前病区、产后病区需求</w:t>
      </w:r>
      <w:r>
        <w:rPr>
          <w:rFonts w:hint="eastAsia" w:ascii="方正仿宋简体" w:hAnsi="方正仿宋简体" w:eastAsia="方正仿宋简体" w:cs="方正仿宋简体"/>
          <w:b w:val="0"/>
          <w:bCs w:val="0"/>
          <w:color w:val="auto"/>
          <w:kern w:val="2"/>
          <w:sz w:val="24"/>
          <w:szCs w:val="24"/>
          <w:highlight w:val="none"/>
          <w:lang w:val="en-US" w:eastAsia="zh-CN" w:bidi="ar-SA"/>
        </w:rPr>
        <w:t>支持单向振荡或双向振荡可选，可同时容纳≥12个不同规格（如5ml-20ml）的西林瓶进行同步振荡，，配备数字定时功能，0-99分钟可调，变频无级可调，振荡频率范围：300-3000次/分</w:t>
      </w:r>
      <w:r>
        <w:rPr>
          <w:rFonts w:hint="eastAsia" w:ascii="方正仿宋简体" w:hAnsi="方正仿宋简体" w:eastAsia="方正仿宋简体" w:cs="方正仿宋简体"/>
          <w:b w:val="0"/>
          <w:bCs w:val="0"/>
          <w:color w:val="auto"/>
          <w:kern w:val="2"/>
          <w:sz w:val="24"/>
          <w:szCs w:val="24"/>
          <w:lang w:val="en-US" w:eastAsia="zh-CN" w:bidi="ar-SA"/>
        </w:rPr>
        <w:t>，</w:t>
      </w:r>
      <w:r>
        <w:rPr>
          <w:rFonts w:hint="eastAsia" w:ascii="方正仿宋简体" w:hAnsi="方正仿宋简体" w:eastAsia="方正仿宋简体" w:cs="方正仿宋简体"/>
          <w:b w:val="0"/>
          <w:bCs w:val="0"/>
          <w:color w:val="auto"/>
          <w:kern w:val="2"/>
          <w:sz w:val="24"/>
          <w:szCs w:val="24"/>
          <w:highlight w:val="none"/>
          <w:lang w:val="en-US" w:eastAsia="zh-CN" w:bidi="ar-SA"/>
        </w:rPr>
        <w:t>振荡幅度≥6mm</w:t>
      </w:r>
      <w:r>
        <w:rPr>
          <w:rFonts w:hint="eastAsia" w:ascii="方正仿宋简体" w:hAnsi="方正仿宋简体" w:eastAsia="方正仿宋简体" w:cs="方正仿宋简体"/>
          <w:b w:val="0"/>
          <w:bCs w:val="0"/>
          <w:color w:val="auto"/>
          <w:kern w:val="2"/>
          <w:sz w:val="24"/>
          <w:szCs w:val="24"/>
          <w:lang w:val="en-US" w:eastAsia="zh-CN" w:bidi="ar-SA"/>
        </w:rPr>
        <w:t>。</w:t>
      </w:r>
    </w:p>
    <w:p w14:paraId="4938CE6D">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序号3、产房、急诊、综合外科、新生儿科、LDRP病区、产后病区、产前病区、妇科科-甩表机功能用途：</w:t>
      </w:r>
    </w:p>
    <w:p w14:paraId="588E92C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用于体温计使用后的快速甩落复位，替代人工，高效地将体温计的液柱甩降至35℃以下，以备下次使用，避免体温计破碎风险。</w:t>
      </w:r>
    </w:p>
    <w:p w14:paraId="24CCD3C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B58A293">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1.空载转速≥1250转/分钟，运行平稳；</w:t>
      </w:r>
    </w:p>
    <w:p w14:paraId="348DB47E">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2.可同时放置1-60支体温计进行工作；</w:t>
      </w:r>
    </w:p>
    <w:p w14:paraId="2A35FD14">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3.整机运行噪音≤60dB(A)；</w:t>
      </w:r>
    </w:p>
    <w:p w14:paraId="35D85EC3">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4.配备防护盖，运行时开启防护盖自动切断电源；机壳采用阻燃ABS工程塑料，便于清洁消毒。</w:t>
      </w:r>
    </w:p>
    <w:p w14:paraId="795D8D6E">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5.具备机械定时或电子定时功能，0-60分钟可调。</w:t>
      </w:r>
    </w:p>
    <w:p w14:paraId="08F28E6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6.与体温计接触的托盘或支架应柔软有弹性，防止体温计在振荡过程中损坏 。</w:t>
      </w:r>
    </w:p>
    <w:p w14:paraId="7148EE2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序号4、手术室-医用保温柜功能用途：</w:t>
      </w:r>
    </w:p>
    <w:p w14:paraId="6F35B81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医用保温柜。</w:t>
      </w:r>
    </w:p>
    <w:p w14:paraId="0EB8BDF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DF54FA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采用304不锈钢内胆与外壳（圆角设计易清洁）及双层中空钢化玻璃门或发泡隔热实心门（带磁吸密封条），容积60-360L（单层或上下双门独立温控），配备微电脑PID温控系统与强制热风循环装置（或水浴加热），温度设定范围30-80℃（常用37℃、50℃、70℃三档或其他定制范围），控制精度≤±1℃（内部温差≤3℃），超温声光报警、门锁及断电记忆功能，配备3-6层高度可调不锈钢搁架（单层高承重≥15kg），功率200-800W，适用于手术室对输液液体、冲洗液、血液制品或保温毛毯的恒温预热与保存。  </w:t>
      </w:r>
    </w:p>
    <w:p w14:paraId="76ED09AB">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序号5、手术室-血液回收机(配套耗材项目)功能用途：</w:t>
      </w:r>
    </w:p>
    <w:p w14:paraId="6FEB445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术中收集患者失血并经抗凝、离心、洗涤处理后回输自体红细胞。</w:t>
      </w:r>
    </w:p>
    <w:p w14:paraId="002D905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866ECF3">
      <w:pPr>
        <w:keepNext w:val="0"/>
        <w:keepLines w:val="0"/>
        <w:pageBreakBefore w:val="0"/>
        <w:widowControl/>
        <w:numPr>
          <w:ilvl w:val="0"/>
          <w:numId w:val="0"/>
        </w:numPr>
        <w:kinsoku/>
        <w:wordWrap/>
        <w:overflowPunct/>
        <w:topLinePunct w:val="0"/>
        <w:autoSpaceDE/>
        <w:autoSpaceDN/>
        <w:bidi w:val="0"/>
        <w:adjustRightInd/>
        <w:snapToGrid/>
        <w:spacing w:line="440" w:lineRule="exact"/>
        <w:ind w:leftChars="0"/>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采用离心分离与生理盐水洗涤技术（离心转速通常2000-5600rpm可调），配备双泵管系统（吸引泵与回输泵联动，处理速度60-120mL/min），具备自动识别红细胞层并精准分离，集成气泡检测、压力监测及漏血报警安全模块；具备标准洗涤、紧急回输及高质量洗涤多程序模式，单次处理循环可实现红细胞回收率≥90%、洗涤后血细胞比容（Hct）50-70%、游离血红蛋白清除率≥95%及抗凝剂/细胞碎片高效去除；兼容一次性封闭双袋或三袋式耗材系统（血液回收罐容量225-375mL，耐受γ射线灭菌），支持肝素或CPD-A抗凝智能配比，配备彩色触摸屏中文界面、数据存储打印及与医院信息系统互联功能，适用于术中出血量≥400mL的外科手术自体血回收、洗涤与回输。</w:t>
      </w:r>
    </w:p>
    <w:p w14:paraId="1BA3FCB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序号6、手术室-插管用光棒功能用途：</w:t>
      </w:r>
    </w:p>
    <w:p w14:paraId="4D2ED5D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通过颈部透光引导实施经口、鼻盲探或半明视气管插管的专用辅助工具。</w:t>
      </w:r>
    </w:p>
    <w:p w14:paraId="6E07407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35A0E91">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采用医用级聚氨酯或硅胶外包覆外套与可塑形金属内芯（铝或记忆合金），内置高亮度LED冷光源（色温5000-6000K，照度≥5000lux，穿透颈部软组织），配备可更换电池仓（AA碱性电池或专用锂电池，续航≥60分钟并带低电量提示）；总长度成人280-350mm，儿童180-220mm，新生儿120-150mm，外径适配标准气管导管，杆身前端可自由弯曲成40-90度钩形（Hockey-stick形）并维持塑形不反弹，末端球形导头直径≤气管导管内径（4-6mm）且360°透光均匀；具备防水绝缘设计（IPX7级）及低温运行保护（表面温度≤41℃防止黏膜热灼伤），支持独立无菌一次性包装或可重复使用高温高压蒸汽灭菌（134℃）。</w:t>
      </w:r>
    </w:p>
    <w:p w14:paraId="211C1A2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序号7、手术室-喉镜功能用途：</w:t>
      </w:r>
    </w:p>
    <w:p w14:paraId="3B67B64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用于直视或视频可视化引导下建立人工气道（气管插管）及处理困难气道的麻醉急救工具。</w:t>
      </w:r>
    </w:p>
    <w:p w14:paraId="372200B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E7E0C0D">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采用医用不锈钢或钛合金镜片（Macintosh弯型、Miller直型可选，视频喉镜配60-80度广角防雾镜片）与高亮度LED冷光源（色温5000-6500K，照度≥3000lux），配备高清CMOS、CD成像系统（分辨率≥720P/1080P，视场角60-90度）及可旋转2.4-3.5英寸防眩光液晶显示屏（可选外接显示器），支持可充电锂电池供电（续航≥90分钟，具备电量预警）；集成一键白平衡、图像抓拍、视频录制存储及防雾预热（37℃恒温）功能，手柄符合人体工学设计（左右手通用，可高温高压灭菌），镜片可快速拆卸更换（金属镜片耐受134℃蒸汽灭菌/低温等离子，一次性镜片无菌独立包装），兼容困难气道管理工具（如导引槽、弹性探条），适用于手术室气管插管可视化操作与困难气道建立。</w:t>
      </w:r>
    </w:p>
    <w:p w14:paraId="4ACD1DE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序号8、手术室-特殊喉镜功能用途：</w:t>
      </w:r>
    </w:p>
    <w:p w14:paraId="0A6FFF3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解决张口受限、颈部活动受限等困难气道情况，实现可视引导下气管插管。</w:t>
      </w:r>
    </w:p>
    <w:p w14:paraId="3376865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D45AE6B">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采用可弯曲塑形不锈钢或铝制镜杆（工作长度250-400mm，预成型锐角钝角可选或360°可调式），配备超细光纤束传导或微型CMOS摄像头（分辨率≥720P，视场角≥60°）及高亮度LED冷光源（照度≥10000lux，色温5500-6500K），通过目镜直接观察或外接2-4英寸液晶显示屏显示声门结构；镜杆末端内置抗 fog 蓝宝石镜片并预留吸引/引导通道（直径≥1.5mm，兼容导引钢丝与弹性探条），支持一次性无菌护套隔离或整体低温等离子/环氧乙烷灭菌；具备左侧磨牙入路设计（适用张口受限患者）及与标准气管导管（ID 6.0-8.5mm）同轴引导插管功能，镜体重量≤200g，电池续航≥90分钟，适用于张口受限、颈部活动受限或常规喉镜暴露困难的特殊气道建立。</w:t>
      </w:r>
    </w:p>
    <w:p w14:paraId="24D65E5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序号9、手术室、ICU、抢救室-可视插管喉镜（配套耗材项目）功能用途：</w:t>
      </w:r>
    </w:p>
    <w:p w14:paraId="6B99A49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辅助气管插管，提高声门暴露清晰度和插管成功率。</w:t>
      </w:r>
    </w:p>
    <w:p w14:paraId="526CF2A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7AC64D8">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高清防雾显示屏（≥4英寸），分辨率高；镜片超薄设计（≤5mm），可拆卸并耐受高水平消毒（如过氧乙酸浸泡）或配套使用一次性镜片；电池续航≥2小时，且支持快充；具备图像录制和数据导出功能，用于教学与复盘；配套的一次性喉镜片及无菌保护套供货稳定，性价比高。</w:t>
      </w:r>
    </w:p>
    <w:p w14:paraId="06FA29E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序号10、儿科PICU、儿科-可视插管喉镜（配套耗材）功能用途：</w:t>
      </w:r>
    </w:p>
    <w:p w14:paraId="023DA58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用于诊断及治疗喉部疾病、紧急气管插管等用途。</w:t>
      </w:r>
    </w:p>
    <w:p w14:paraId="210B206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4CEB95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通常为2.5英寸至3.5英寸的高清显示屏，显示屏可多角度旋转，如左右旋转≥160°，上下旋转≥135°。摄像头高分辨率（如500万像素及以上），需要防水防雾设计，广角摄像头，可覆盖更广阔的气道视野，减少观察盲区。</w:t>
      </w:r>
    </w:p>
    <w:p w14:paraId="13C6896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配置需求：</w:t>
      </w:r>
    </w:p>
    <w:p w14:paraId="5A84CB7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需配有新生儿，各年龄段儿童用的一次性使用喉镜片。</w:t>
      </w:r>
    </w:p>
    <w:p w14:paraId="1662D9B8">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序号11、新生儿科、LDRP病区-新生儿插管喉镜（配套耗材项目）功能用途：</w:t>
      </w:r>
    </w:p>
    <w:p w14:paraId="7BEE919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适用于早产儿、低体重儿及危重新生儿的气管插管操作。</w:t>
      </w:r>
    </w:p>
    <w:p w14:paraId="4958519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58E443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1.设备前端集成微型高清摄像头与光源，可在插管过程中实时显示咽喉部影像；</w:t>
      </w:r>
    </w:p>
    <w:p w14:paraId="7DE438E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2.摄像头像素≥30万，显示屏尺寸≥2.4英寸，分辨率≥640×480，视场角不小于45°–75°，景深范围5mm–100mm；</w:t>
      </w:r>
    </w:p>
    <w:p w14:paraId="1A6CF57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3.镜片材质为医用级高分子材料，一次性使用，镜片型号涵盖早产儿、新生儿、婴幼儿等规格，长度、厚度符合解剖适配要求；</w:t>
      </w:r>
    </w:p>
    <w:p w14:paraId="5723F75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4.显示器角度可调节，支持一键拍照、录像、图像冻结、病例回顾功能</w:t>
      </w:r>
      <w:r>
        <w:rPr>
          <w:rFonts w:hint="eastAsia" w:ascii="方正仿宋简体" w:hAnsi="方正仿宋简体" w:eastAsia="方正仿宋简体" w:cs="方正仿宋简体"/>
          <w:b w:val="0"/>
          <w:bCs w:val="0"/>
          <w:color w:val="auto"/>
          <w:kern w:val="2"/>
          <w:sz w:val="24"/>
          <w:szCs w:val="24"/>
          <w:lang w:val="en-US" w:eastAsia="zh-CN" w:bidi="ar-SA"/>
        </w:rPr>
        <w:t>。</w:t>
      </w:r>
    </w:p>
    <w:p w14:paraId="062B21B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序号12、产房-成人插管喉镜及复苏囊</w:t>
      </w:r>
      <w:r>
        <w:rPr>
          <w:rFonts w:hint="eastAsia" w:ascii="方正仿宋简体" w:hAnsi="方正仿宋简体" w:eastAsia="方正仿宋简体" w:cs="方正仿宋简体"/>
          <w:b/>
          <w:bCs/>
          <w:color w:val="auto"/>
          <w:kern w:val="2"/>
          <w:sz w:val="24"/>
          <w:szCs w:val="24"/>
          <w:highlight w:val="none"/>
          <w:lang w:val="en-US" w:eastAsia="zh-CN" w:bidi="ar-SA"/>
        </w:rPr>
        <w:t>（一次性气管插管、面罩配套耗材）</w:t>
      </w:r>
      <w:r>
        <w:rPr>
          <w:rFonts w:hint="eastAsia" w:ascii="方正仿宋简体" w:hAnsi="方正仿宋简体" w:eastAsia="方正仿宋简体" w:cs="方正仿宋简体"/>
          <w:b/>
          <w:bCs/>
          <w:color w:val="auto"/>
          <w:kern w:val="2"/>
          <w:sz w:val="28"/>
          <w:szCs w:val="28"/>
          <w:highlight w:val="none"/>
          <w:lang w:val="en-US" w:eastAsia="zh-CN" w:bidi="ar-SA"/>
        </w:rPr>
        <w:t>功能用途：</w:t>
      </w:r>
    </w:p>
    <w:p w14:paraId="0FDC3F0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用于产妇急救时气道建立和正压通气，喉镜暴露声门引导气管插管，复苏囊提供紧急呼吸支持，保障呼吸道通畅，适用于麻醉及心肺复苏。</w:t>
      </w:r>
    </w:p>
    <w:p w14:paraId="611835C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DB3196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喉镜含成人专用镜片（Macintosh 3号、4号），LED冷光源照明；手柄可重复使用，镜片可选一次性；复苏囊容量≥1500ml，具备安全压力释放阀；配有储氧袋和多规格面罩；一次性气管插管规格6.0-8.0mm。</w:t>
      </w:r>
    </w:p>
    <w:p w14:paraId="6E4F10F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序号13、产房-新生儿插管喉镜及复苏囊</w:t>
      </w:r>
      <w:r>
        <w:rPr>
          <w:rFonts w:hint="eastAsia" w:ascii="方正仿宋简体" w:hAnsi="方正仿宋简体" w:eastAsia="方正仿宋简体" w:cs="方正仿宋简体"/>
          <w:b/>
          <w:bCs/>
          <w:color w:val="auto"/>
          <w:kern w:val="2"/>
          <w:sz w:val="24"/>
          <w:szCs w:val="24"/>
          <w:highlight w:val="none"/>
          <w:lang w:val="en-US" w:eastAsia="zh-CN" w:bidi="ar-SA"/>
        </w:rPr>
        <w:t>（一次性气管插管、面罩）</w:t>
      </w:r>
      <w:r>
        <w:rPr>
          <w:rFonts w:hint="eastAsia" w:ascii="方正仿宋简体" w:hAnsi="方正仿宋简体" w:eastAsia="方正仿宋简体" w:cs="方正仿宋简体"/>
          <w:b/>
          <w:bCs/>
          <w:color w:val="auto"/>
          <w:kern w:val="2"/>
          <w:sz w:val="28"/>
          <w:szCs w:val="28"/>
          <w:highlight w:val="none"/>
          <w:lang w:val="en-US" w:eastAsia="zh-CN" w:bidi="ar-SA"/>
        </w:rPr>
        <w:t>功能用途：</w:t>
      </w:r>
    </w:p>
    <w:p w14:paraId="0672D3F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用于新生儿窒息抢救时的气道建立和通气支持，包括喉镜引导气管插管和复苏囊正压通气，保障新生儿呼吸通畅。</w:t>
      </w:r>
    </w:p>
    <w:p w14:paraId="1981E93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5AAD4AA">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喉镜包含新生儿专用镜片（Miller0号、1号），LED冷光源照明；手柄可重复使用，镜片可选一次性或可灭菌；复苏囊容量250ml，具备安全压力释放阀（35-45cmH₂O）；配有储氧袋和多种规格面罩（新生儿、早产儿）；一次性气管插管规格2.5-4.0mm。</w:t>
      </w:r>
    </w:p>
    <w:p w14:paraId="0F58B00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序号14、抢救室-恒温箱功能用途：</w:t>
      </w:r>
    </w:p>
    <w:p w14:paraId="70A37EA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存放洗胃液。</w:t>
      </w:r>
    </w:p>
    <w:p w14:paraId="794A50B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F97881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37.0℃恒温，体积小，约40*40*50cm左右。</w:t>
      </w:r>
    </w:p>
    <w:p w14:paraId="507A3236">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序号15、全院-治疗盘等器械治疗包功能用途：</w:t>
      </w:r>
    </w:p>
    <w:p w14:paraId="35ECE45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治疗盘用于盛放、传递无菌物品和清洁物品的基础承载工具。无菌换药包：用于伤口换药等</w:t>
      </w:r>
    </w:p>
    <w:p w14:paraId="62FD63F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静切包：用于紧急建立静脉通道的外科手术器械包。</w:t>
      </w:r>
    </w:p>
    <w:p w14:paraId="6C67CD1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95F8E0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1.不锈钢分隔治疗盘：内置分格，便于分类摆放酒精，碘伏，棉签等；</w:t>
      </w:r>
    </w:p>
    <w:p w14:paraId="5642F6F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2.无菌换药包: 镊子1把，血管钳1把，弯盘1个，治疗碗1个；</w:t>
      </w:r>
    </w:p>
    <w:p w14:paraId="56FE8FD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3.静脉切开包：手术刀片及刀柄、手术剪、血管钳（蚊式直钳、弯钳）、持针器、有齿镊（组织镊）、无齿镊（敷料镊）、消毒钳/敷料钳。</w:t>
      </w:r>
    </w:p>
    <w:p w14:paraId="1D6EE680">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序号16、产房-自体备血仪器功能用途：</w:t>
      </w:r>
    </w:p>
    <w:p w14:paraId="7E6FA8C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用于产妇自体血回收和回输，在剖腹产大出血时将术野出血回收、洗涤、浓缩后回输给患者，减少异体血输注风险。</w:t>
      </w:r>
    </w:p>
    <w:p w14:paraId="23B8392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320BF4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包括采液控制器和高频热合机，处理速度：清洗模式下≤300ml/10分钟；离心转速范围2000-8000rpm；废液袋容量≥2000ml；具备红细胞回收率≥90%；触摸屏操作，全自动流程；内置备用电池，断电后可完成当前循环；符合国家三类医疗器械注册要求。 </w:t>
      </w:r>
    </w:p>
    <w:p w14:paraId="1445D58D">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序号17、手术室、妇科门诊手术室-膜式电动吸引器功能用途：</w:t>
      </w:r>
    </w:p>
    <w:p w14:paraId="208A677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用于手术室负压吸引、引流、吸痰等，通过负压持续吸引清除术野血液、体液及冲洗液。</w:t>
      </w:r>
    </w:p>
    <w:p w14:paraId="5A79305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F0AB06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采用无油隔膜负压泵，免维护且无油雾污染，配备精密真空压力调节系统（负压范围0-0.09MPa或0-760mmHg连续可调，稳定精度±0.5kPa），抽气速率≥20-40L/min；集成大容量收集瓶（带刻度及防溢流浮子阀，耐受134℃高温高压灭菌）与细菌过滤器（0.3μm及以上微粒过滤效率≥99.9%，可更换），具备手控/脚踏双模式开关、真空表实时显示及超压自动保护释放阀；整机噪音≤55dB，功率≤180W，配备医用静音脚轮推车或墙面挂架，医用吸引设备安全标准及手术室感控要求，适用于术中血液、体液及冲洗液的持续负压吸引清除。配有收集罐，收集罐容量≥800ml。 </w:t>
      </w:r>
    </w:p>
    <w:p w14:paraId="1D9123E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序号18、儿科PICU病区、儿科、生殖中心、妇科、医学影像科-电动吸引器（负压）功能用途：</w:t>
      </w:r>
    </w:p>
    <w:p w14:paraId="1202228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一种高负压、大流量的医用吸引装置。 适用于医疗机构作吸除患者气道内的分泌物和手术时患者体内 渗出物、冲洗液之用。</w:t>
      </w:r>
    </w:p>
    <w:p w14:paraId="2FE03A3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A161D99">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采用无油润滑负压泵，负压上升快，无油雾污染，泵体无需 日常维护和保养;</w:t>
      </w:r>
    </w:p>
    <w:p w14:paraId="366BD3B6">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设备后部的槽型翻板内可放置脚踏开关及电源线等； </w:t>
      </w:r>
    </w:p>
    <w:p w14:paraId="377068F5">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设有溢流保护装置，可防止液体进入中间管道及负压泵内；</w:t>
      </w:r>
    </w:p>
    <w:p w14:paraId="79160287">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可根据临床需要无级调节负压值；</w:t>
      </w:r>
    </w:p>
    <w:p w14:paraId="079A61D6">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手动开关和脚踏开关并联连接，任意选用；</w:t>
      </w:r>
    </w:p>
    <w:p w14:paraId="1CDDE610">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贮液瓶容量 (mL) 2500*2（硬质玻璃），防溢漏设计，内置污物满液报警；</w:t>
      </w:r>
    </w:p>
    <w:p w14:paraId="1E04F9F0">
      <w:pPr>
        <w:keepNext w:val="0"/>
        <w:keepLines w:val="0"/>
        <w:pageBreakBefore w:val="0"/>
        <w:widowControl/>
        <w:numPr>
          <w:ilvl w:val="0"/>
          <w:numId w:val="13"/>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极限负压值 (MPa)/ 0.09（约 1 标准大气压下测定值），负压调节范围 -0.02 MPa～ 极限负压值，抽气速率 (L/min)/32，真空表 -0.1～0 MPa，精度 2.5 级。 </w:t>
      </w:r>
    </w:p>
    <w:p w14:paraId="260861B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序号19、妇科门诊手术室、产房-电动人流吸引器功能用途：</w:t>
      </w:r>
    </w:p>
    <w:p w14:paraId="0C5EABC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用于术中负压吸引，适用早期妊娠10周内人工流产负压吸引术、产后宫腔积血、残留清除、子宫内膜取样、宫腔积液吸引。</w:t>
      </w:r>
    </w:p>
    <w:p w14:paraId="09C7E13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EBDA33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电动负压吸引器，极限负压值≥0.09MPa，负压值连续可调，抽气速率≥20L/min；储液瓶容量≥2000ml，透明材质便于观察，噪音≤60dB，具备脚踏开关和手动开关双重控制，具备防倒流、防溢双重保护；主机顶部配备器械盘。主要配置包含：主机、储液瓶×2、吸引管路、宫腔吸引管（#6、#7、#8各一）、脚踏开关及相关附件等。</w:t>
      </w:r>
    </w:p>
    <w:p w14:paraId="7B140173">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序号20、新生儿科、产前病区、产后病区、LDRP病区-电动吸引器（配套耗材项目）功能用途：</w:t>
      </w:r>
    </w:p>
    <w:p w14:paraId="33D10CA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用于新生儿呼吸道分泌物、羊水、胎粪、胃内容物及产妇呼吸道分泌物、术中渗出液及孕妇呕吐物等的吸引，保持气道通畅，适用于产房、NICU及转运过程。</w:t>
      </w:r>
    </w:p>
    <w:p w14:paraId="0324DBC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AF6BF7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1.负压调节范围：-0.02MPa～-0.08MPa（-20kPa～-80kPa）连续可调，调节精度≤±0.01MPa，调节精度应能满足产科轻柔吸引的需求；</w:t>
      </w:r>
    </w:p>
    <w:p w14:paraId="2C37F14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2.抽气速率：终端自由气流平均流量≥15L/min（或≥20L/min）；</w:t>
      </w:r>
    </w:p>
    <w:p w14:paraId="06455C3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3.储液瓶：2000mL及以上透明聚碳酸酯或玻璃储液瓶，带刻度标识（分度值≤50mL）；</w:t>
      </w:r>
    </w:p>
    <w:p w14:paraId="0153933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4.防溢流保护：储液瓶配有防溢流装置（止溢阀或高效滤芯），液量达到标称容量90%时自动切断吸引；</w:t>
      </w:r>
    </w:p>
    <w:p w14:paraId="401B81F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5.过滤装置：吸引管路中配备高效空气过滤器，防止交叉感染；</w:t>
      </w:r>
    </w:p>
    <w:p w14:paraId="26A633B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6.整机运行噪音≤60dB；</w:t>
      </w:r>
    </w:p>
    <w:p w14:paraId="461E174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7.可配备脚踏开关。</w:t>
      </w:r>
    </w:p>
    <w:p w14:paraId="62D3E3A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序号21、新生儿科-经皮氧二氧化碳仪功能用途：</w:t>
      </w:r>
    </w:p>
    <w:p w14:paraId="790D18E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用于无创、连续监测新生儿经皮氧分压和二氧化碳分压，评估通气及氧合状态，减少动脉采血次数。</w:t>
      </w:r>
    </w:p>
    <w:p w14:paraId="2F2C3D7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B01E32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1.同时监测经皮氧分压、经皮二氧化碳分压及体温；</w:t>
      </w:r>
    </w:p>
    <w:p w14:paraId="1109823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2.传感器：一体式Clarke电极（测氧）+Severinghaus电极（测碳），带自加热功能（42℃～45℃）；</w:t>
      </w:r>
    </w:p>
    <w:p w14:paraId="1C136BAB">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3.测量范围：tcPO2：0～200mmHg；tcPCO2：0～200mmHg；体温：20℃～45℃；</w:t>
      </w:r>
    </w:p>
    <w:p w14:paraId="558E525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4.测量精度：tcPO2：±2mmHg（0～40mmHg）或±5%（40～200mmHg）；tcPCO2：±2mmHg（0～40mmHg）或±5%（40～200mmHg）；</w:t>
      </w:r>
    </w:p>
    <w:p w14:paraId="57D027A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5.校准方式：自动气体校准（单点/两点校准），无需手动计算；</w:t>
      </w:r>
    </w:p>
    <w:p w14:paraId="4080BA3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6.趋势存储：可存储≥24小时趋势数据，支持USB导出或软件分析；</w:t>
      </w:r>
    </w:p>
    <w:p w14:paraId="6A2A28F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7.显示界面：≥5英寸彩色触摸屏，实时显示数值及趋势图；</w:t>
      </w:r>
    </w:p>
    <w:p w14:paraId="2DAE2C58">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8.tcPO2/tcPCO2高/低报警、温度报警、传感器脱落报警。</w:t>
      </w:r>
    </w:p>
    <w:p w14:paraId="6350ABE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序号22、ICU-移动吸痰器功能用途：</w:t>
      </w:r>
    </w:p>
    <w:p w14:paraId="4483331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用于患者气道分泌物吸引。</w:t>
      </w:r>
    </w:p>
    <w:p w14:paraId="220C964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969B9A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负压可调范围广（0-500mmHg），且最低档位精细（如30-50mmHg），适用于儿童或脆弱气道；内置高容量蓄电池，续航≥60分钟；最大噪音≤60分贝；储痰瓶防逆流设计，且便于拆卸、可高温高压消毒（≥121℃）；整机轻便（≤5kg），带挂钩可悬挂于床栏。  </w:t>
      </w:r>
    </w:p>
    <w:p w14:paraId="4DCF1BB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序号23、新生儿科-空氧混合仪功能用途：</w:t>
      </w:r>
    </w:p>
    <w:p w14:paraId="365FC5C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用于精确调节新生儿吸氧浓度，防止高氧/低氧损伤，常与CPAP、呼吸机、暖箱或复苏器联用，提供精准的氧疗支持。</w:t>
      </w:r>
    </w:p>
    <w:p w14:paraId="2379809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9ABB9A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1.氧浓度调节：21%～100%连续可调，调节步进≤1%，精度≤±3%或±2%（取较大值）；</w:t>
      </w:r>
    </w:p>
    <w:p w14:paraId="3A07452B">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2.流量调节：0～15L/min或0～25L/min连续可调，调节步进≤0.1L/min，流量精度≤±10%；</w:t>
      </w:r>
    </w:p>
    <w:p w14:paraId="7BDBB0D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3.可壁挂、可放置台面或可选配落地支架。</w:t>
      </w:r>
    </w:p>
    <w:p w14:paraId="2C95EC1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序号24、新生儿科-超净台功能用途：</w:t>
      </w:r>
    </w:p>
    <w:p w14:paraId="1BED665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用于NICU的无菌操作，如静脉药物配制、肠外营养液配制等。</w:t>
      </w:r>
    </w:p>
    <w:p w14:paraId="78A4320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858F6A8">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1.洁净等级：ISO 5级（100级），对直径≥0.3μm颗粒的过滤效率≥99.99%（或对直径≥0.5μm颗粒的洁净度达到100级）；</w:t>
      </w:r>
    </w:p>
    <w:p w14:paraId="6C12C471">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2.菌落数：≤0.5个/皿·时（90mm培养皿静置30分钟培养）；</w:t>
      </w:r>
    </w:p>
    <w:p w14:paraId="7E5C328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3.垂直层流或水平层流可选，单人/单面（根据科室场地选择）；</w:t>
      </w:r>
    </w:p>
    <w:p w14:paraId="7015850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4.平均风速：0.3～0.6 m/s连续可调或多档可调；</w:t>
      </w:r>
    </w:p>
    <w:p w14:paraId="0B38E40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5.配备HEPA高效过滤器，过滤效率≥99.99%（对0.3μm颗粒），设有预过滤器（中效过滤系统），延长高效过滤器寿命；</w:t>
      </w:r>
    </w:p>
    <w:p w14:paraId="5F0A605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6.具备风速调节、照明灯/紫外灯独立控制；</w:t>
      </w:r>
    </w:p>
    <w:p w14:paraId="2D2ED81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7.离心式风机，转速稳定、噪音小。 </w:t>
      </w:r>
    </w:p>
    <w:p w14:paraId="3F547AB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序号25、LDRP病区-输血加压器功能用途：</w:t>
      </w:r>
    </w:p>
    <w:p w14:paraId="021EF5E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用于危重产妇及新生儿急救时，对输血、输液进行快速加压输注，以在短时间内恢复有效循环血量。</w:t>
      </w:r>
    </w:p>
    <w:p w14:paraId="5B4F506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054B22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1.设备应为气动自动加压或机械弹簧加压，无需手动持续按压气囊；</w:t>
      </w:r>
    </w:p>
    <w:p w14:paraId="2E15EC4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2.压力设定范围应涵盖5kPa~30kPa（或相应mmHg单位），能够满足不同输注场景需求；</w:t>
      </w:r>
    </w:p>
    <w:p w14:paraId="36860EA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3.具备自动恒压输出功能，在输液/输血过程中，即使液体量减少，设备应能自动补充压力，保持预设压力值稳定，确保流速平稳；</w:t>
      </w:r>
    </w:p>
    <w:p w14:paraId="2F273EF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4.适用于临床标准规格的血袋和输液袋；</w:t>
      </w:r>
    </w:p>
    <w:p w14:paraId="5674F1F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5.具备超压保护及声光报警功能。当压力超过设定上限或输注完毕时应能自动停止加压或发出提示；</w:t>
      </w:r>
    </w:p>
    <w:p w14:paraId="343F80A6">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6.设有手动紧急泄压阀，可在任何状态下快速释放压力，防止空气栓塞等风险。</w:t>
      </w:r>
    </w:p>
    <w:p w14:paraId="3D79D12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序号26、新生儿科、LDRP病区-电动吸乳器（配套耗材项目）功能用途：</w:t>
      </w:r>
    </w:p>
    <w:p w14:paraId="3855EEF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帮助产妇在产后乳汁分泌初期建立泌乳反射，缓解乳房胀痛；满足母婴分离时的乳汁收集需求，维持乳汁分泌量；同时可用于乳汁的储存与喂养准备，支持母乳喂养的顺利开展。</w:t>
      </w:r>
    </w:p>
    <w:p w14:paraId="319243C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2D7121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1.模式与调节：具备刺激泌乳模式与吸乳模式，吸力强度分档可调，调节档位≥9档，吸力范围覆盖50mmHg - 300mmHg，频率调节范围支持10次/分钟 - 50次/分钟；</w:t>
      </w:r>
    </w:p>
    <w:p w14:paraId="6E2217D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2.舒适性设计：配备柔软贴合的硅胶吸乳罩，支持多尺寸可选；具备泌乳按摩功能，模拟婴儿吸吮节奏；</w:t>
      </w:r>
    </w:p>
    <w:p w14:paraId="35DD49D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3.食品接触部件符合医用级安全标准，可高温消毒；具备防逆流设计，避免乳汁污染主机；支持充电与插电双模式供电，续航时间≥2小时；</w:t>
      </w:r>
    </w:p>
    <w:p w14:paraId="180D8C4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4.配套奶瓶多种容量可选。 </w:t>
      </w:r>
    </w:p>
    <w:p w14:paraId="09EFEECD">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序号27、产后病区-医用级吸奶器（配套耗材项目）功能用途：</w:t>
      </w:r>
    </w:p>
    <w:p w14:paraId="7393C1E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帮助产妇在产后乳汁分泌初期建立泌乳反射，缓解乳房胀痛；满足母婴分离时的乳汁收集需求，维持乳汁分泌量；同时可用于乳汁的储存与喂养准备，支持母乳喂养的顺利开展。</w:t>
      </w:r>
    </w:p>
    <w:p w14:paraId="595CD88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CE476B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1.可多人使用；</w:t>
      </w:r>
    </w:p>
    <w:p w14:paraId="543B1ECB">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2.可单或双侧使用；</w:t>
      </w:r>
    </w:p>
    <w:p w14:paraId="529690E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3.智能芯升级程序卡包含两个程序：泌乳启动程序、泌乳维持程序；</w:t>
      </w:r>
    </w:p>
    <w:p w14:paraId="209459E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4.泌乳启动程序:15分钟的固定吸乳过程，包含四个阶段：①刺激阶段1:  - 70  至 - 200 mmHg / 120 cpm ②刺激阶段2:  - 70  至 - 200 mmHg / 90 cpm ③吸乳阶段 :  - 100  至 - 250 mmHg / 34-54 cpm ④暂停阶段；</w:t>
      </w:r>
    </w:p>
    <w:p w14:paraId="14381242">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5.泌乳维持程序包含两个阶段：①刺激阶段: -50 至 - 200 mmHg/ 120 cpm②吸乳阶段：-50 至 -250 mmHg/54-78 cpm；</w:t>
      </w:r>
    </w:p>
    <w:p w14:paraId="6F1D253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6.舒适流速调节：负压调节挡位不低于12档，以便产妇调节吸力更精准舒适。</w:t>
      </w:r>
    </w:p>
    <w:p w14:paraId="6B6DC1C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序号28、产后病区-温奶器功能用途：</w:t>
      </w:r>
    </w:p>
    <w:p w14:paraId="776281F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用于加热母乳、配方奶至适宜喂养温度，恒温保温，避免营养破坏。</w:t>
      </w:r>
    </w:p>
    <w:p w14:paraId="7F10768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43543B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1.控温精度：设定值与实测值偏差≤2℃；</w:t>
      </w:r>
    </w:p>
    <w:p w14:paraId="7513781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2.加热方式：水浴加热或PTC陶瓷加热；</w:t>
      </w:r>
    </w:p>
    <w:p w14:paraId="08132D9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3.容量：≥500mL，具备防干烧、过热自动断电保护；</w:t>
      </w:r>
    </w:p>
    <w:p w14:paraId="6624072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4.与奶瓶/储奶袋接触部件不含双酚A。 </w:t>
      </w:r>
    </w:p>
    <w:p w14:paraId="022485F3">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序号29、产前病区-卵圆钳（宫颈钳）功能用途：</w:t>
      </w:r>
    </w:p>
    <w:p w14:paraId="0C7879F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用于产前检查、宫颈手术时夹持宫颈组织，辅助暴露手术视野。</w:t>
      </w:r>
    </w:p>
    <w:p w14:paraId="4CE3B29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FE0F7BD">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1.250mm±10mm，弯型/直型可选，医用不锈钢，耐腐蚀，可高温高压灭菌；</w:t>
      </w:r>
    </w:p>
    <w:p w14:paraId="375FEE0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2.钳头齿纹清晰，夹持牢固，对组织损伤小，叠鳃式或推拉式结构，整体抛光处理，无锐角毛刺。</w:t>
      </w:r>
    </w:p>
    <w:p w14:paraId="1E05E72D">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序号30、儿科-悬浮翻身床垫功能用途：</w:t>
      </w:r>
    </w:p>
    <w:p w14:paraId="5F4BA2F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病房通用护理设备。</w:t>
      </w:r>
    </w:p>
    <w:p w14:paraId="7D25AC1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25BE24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1.具备压力交替或静态悬浮工作模式，具备定时自动循环侧翻功能，以辅助体位变换；</w:t>
      </w:r>
    </w:p>
    <w:p w14:paraId="4A5A684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2.具备透气或温湿度调节功能，支持物理降温或微气流散热，避免局部积热；</w:t>
      </w:r>
    </w:p>
    <w:p w14:paraId="32CF8E8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3.必须具有快速放气功能，放气至硬质状态时间≤30秒；</w:t>
      </w:r>
    </w:p>
    <w:p w14:paraId="1920950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4.床垫需防滑，尺寸需适合儿科病床，对儿童压疮高发部位有效减压；</w:t>
      </w:r>
    </w:p>
    <w:p w14:paraId="1896746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5.无毒、环保、生物相容性高的材质，防水、透气、阻燃，且具备防霉抗菌特性，易于清洁消毒。 </w:t>
      </w:r>
    </w:p>
    <w:p w14:paraId="5059EA50">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序号31、产房-电动分娩床功能用途：</w:t>
      </w:r>
    </w:p>
    <w:p w14:paraId="1D20E43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电动产床，可满足分娩、检查、产后观察等需求。</w:t>
      </w:r>
    </w:p>
    <w:p w14:paraId="135B92E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EA5A2AF">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1.采用电动油压控制完成床面升降、头脚倾斜、背板升降、刹车及释放，电并可自动调节高度，以消除地板不平所造成之晃动，床刹牢固；</w:t>
      </w:r>
    </w:p>
    <w:p w14:paraId="2AB0C8F4">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2.腿架可独立外展、抬高、降低、支持截石位的快速转换；床尾部可自动伸缩，满足平台和断台接产的快速转变；</w:t>
      </w:r>
    </w:p>
    <w:p w14:paraId="3765A08E">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3.产床具有内藏式辅助板隐藏于座板下方，要用时抽出不用时可以收藏于机台下方，且具升降功能，可放置器械或用于支撑医师手部；</w:t>
      </w:r>
    </w:p>
    <w:p w14:paraId="74778D7D">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4.产床腿架固定器具有环抱型设计，锁住腿架支柱后可以承受60KgM以上之扭力，可有效避免腿架受力后产生旋转；</w:t>
      </w:r>
    </w:p>
    <w:p w14:paraId="2CF4EC93">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5.产床具有电动刹车及释放装置，且配备紧急及停电刹车手动释放功能；</w:t>
      </w:r>
    </w:p>
    <w:p w14:paraId="22E78354">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6.产床具有坚固稳定的升降柱功能，上升下降≥30cm的行程；</w:t>
      </w:r>
    </w:p>
    <w:p w14:paraId="39234B26">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 xml:space="preserve">7.产床腿架固定器锁住腿架支柱后能承受10KgM以上之扭力，可有效避免腿架受力后旋转。 </w:t>
      </w:r>
    </w:p>
    <w:p w14:paraId="5B19305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设备需求：</w:t>
      </w:r>
    </w:p>
    <w:p w14:paraId="316D284F">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1.腿架：可调节角度，软垫包裹；</w:t>
      </w:r>
    </w:p>
    <w:p w14:paraId="0FFF603B">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2.床垫：抗菌防水，防腐蚀，易清洁；</w:t>
      </w:r>
    </w:p>
    <w:p w14:paraId="54E355AF">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3.床边护栏需固定在产床，三段式上下翻转：分别为0°-90°-180°；</w:t>
      </w:r>
    </w:p>
    <w:p w14:paraId="24327809">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4.提供产妇握持支撑。</w:t>
      </w:r>
    </w:p>
    <w:p w14:paraId="0F85556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序号32、生殖中心-恒温试管架功能用途：</w:t>
      </w:r>
    </w:p>
    <w:p w14:paraId="2B65D53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专供IVF操作中的试管加热。</w:t>
      </w:r>
    </w:p>
    <w:p w14:paraId="7648C41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C236E5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专为IVF胚胎实验室设计制作尺  寸：L85×W 210×H 170(mm)电 压：220V/50Hz功  率：100W加热时间：约20分钟(室温至37℃)温度范围：22℃-45℃精确度：&lt;±0.2℃数码显示：更加方便控制和观察试管槽：可以放置2x6支试管，也可以根据客户需要定制孔洞数目和大小(15ml试管和5ml试管)。 </w:t>
      </w:r>
    </w:p>
    <w:p w14:paraId="6119592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序号33、LDRP病区、产后病区-医用转移车功能用途：</w:t>
      </w:r>
    </w:p>
    <w:p w14:paraId="499A655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用于辅助产后虚弱、剖宫产术后需早期下床活动的产妇进行站立训练及床旁短距离移乘。</w:t>
      </w:r>
    </w:p>
    <w:p w14:paraId="042CABB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2B6950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1.采用优质不锈钢或铝合金材质车架，表面防腐处理，坚固耐用。车体为推车式设计，高度可调，适应不同身高的产妇推行；</w:t>
      </w:r>
    </w:p>
    <w:p w14:paraId="574DC65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2.扶手高度调节范围≥150mm，胸部支撑垫高度及前后可调，角度可倾斜；</w:t>
      </w:r>
    </w:p>
    <w:p w14:paraId="4CBC4A8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3.配备可锁定式脚轮，推行时定向，停靠时锁定；</w:t>
      </w:r>
    </w:p>
    <w:p w14:paraId="365A7E9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4.车体承重≥150kg，具有防反倾覆设计。 </w:t>
      </w:r>
    </w:p>
    <w:p w14:paraId="59CAAF1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序号34、手术室、计生及妇科门诊手术室、妇科门诊手术室-电动输液架功能用途：</w:t>
      </w:r>
    </w:p>
    <w:p w14:paraId="7AF2054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临床输液、输血及输注泵悬挂固定。</w:t>
      </w:r>
    </w:p>
    <w:p w14:paraId="7D24EDE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426CF9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采用304不锈钢或高强度铝合金立柱（直径≥25mm，壁厚≥1.2mm），配备4-6个可旋转不锈钢挂钩（单钩承重≥5kg，总承重≥20kg）及手动旋钮或电动升降机构（高度调节范围1500-2400mm），集成医用级防水插座模块（2-4位国标10A插座，带独立开关、漏电保护及过载保护），底座配置医用静音万向脚轮（带中央锁定刹车，承重≥100kg），配备输液泵托盘、注射泵支架及万向臂夹持装置，整体表面经喷砂拉丝或环氧喷塑处理，耐受手术室消毒剂腐蚀，适用于手术室输液、输血及泵类设备的悬挂与供电一体化支持。  </w:t>
      </w:r>
    </w:p>
    <w:p w14:paraId="20DB9AE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序号35、医学影像科、产房、新生儿科、LDRP病区、产前病区、产后病区、儿科PICU病区、儿科、妇科、综合外科、生殖中心-移动输液架功能用途：</w:t>
      </w:r>
    </w:p>
    <w:p w14:paraId="0908A71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病房通用护理设备，用于静脉输液时悬挂输液瓶/袋，便于患者移动。</w:t>
      </w:r>
    </w:p>
    <w:p w14:paraId="3FA5FEB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98C361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1.采用优质不锈钢或铝合金材质，表面防腐处理，坚固轻便，易清洁消毒；</w:t>
      </w:r>
    </w:p>
    <w:p w14:paraId="16A913D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2.升降范围1500-2300mm可调，采用机械旋钮或弹簧卡扣锁定，升降顺畅，锁止可靠；</w:t>
      </w:r>
    </w:p>
    <w:p w14:paraId="7E8C1DF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3.五爪式或四爪式铸铁或铸塑底座，直径≥450mm，重心稳固，防倾倒。底座表面光洁，无锐角；</w:t>
      </w:r>
    </w:p>
    <w:p w14:paraId="78CB012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4.配备4只或5只医用静音万向脚轮，直径≥50mm，带刹车装置，推行灵活，转向自如，不损伤地面，底座直径≥50CM，托盘≥20CM*17CM；</w:t>
      </w:r>
    </w:p>
    <w:p w14:paraId="38CC2BD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5.顶部配备≥4个挂钩，承重≥5kg/钩，可选配微量注射泵固定架。</w:t>
      </w:r>
    </w:p>
    <w:p w14:paraId="56DFCF1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序号36、LDRP病区、产前病区、产科门诊、妇科门诊、妇科、伤口室、综合外科、生殖中心-手术站灯功能用途：</w:t>
      </w:r>
    </w:p>
    <w:p w14:paraId="7EF32EB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为床旁检查、治疗和操作提供精准、清晰的辅助照明。</w:t>
      </w:r>
    </w:p>
    <w:p w14:paraId="487AB5D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C38156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1.可移动式高亮度LED无影灯或可调节角度的手术灯，照明光线均匀柔和，无眩光、无重影、无频闪，显色指数≥90；</w:t>
      </w:r>
    </w:p>
    <w:p w14:paraId="4F53045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2.中心照度≥30000lux，亮度可多级调节，可根据不同检查部位、检查需求灵活调整光照强度，聚焦精准；</w:t>
      </w:r>
    </w:p>
    <w:p w14:paraId="164361B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3.灯头高度、照明角度可调节，底座稳固；</w:t>
      </w:r>
    </w:p>
    <w:p w14:paraId="633DFDF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4.移动式设计，五个万向脚轮支撑稳定、移动灵活；</w:t>
      </w:r>
    </w:p>
    <w:p w14:paraId="67CBEA8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5.底座尺寸：≥直径500mm。   </w:t>
      </w:r>
    </w:p>
    <w:p w14:paraId="0716B75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序号37、儿科PICU病区-推床功能用途：</w:t>
      </w:r>
    </w:p>
    <w:p w14:paraId="1B1DB37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病房通用护理设备。</w:t>
      </w:r>
    </w:p>
    <w:p w14:paraId="69D1928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0476789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 床面尺寸：长度≥1900mm，宽度≥600mm，采用优质钢材或铝合金框架，表面喷涂处理，坚固防锈，承重高；</w:t>
      </w:r>
    </w:p>
    <w:p w14:paraId="1978A74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2.摇杆或液压升降系统，可实现床面整体升降，升降范围建议≥300mm，方便与病床或手术台对接。</w:t>
      </w:r>
    </w:p>
    <w:p w14:paraId="6FE5096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3.背部升降：背部床板可通过气弹簧或摇杆抬起，调节角度≥70°，以适应不同体位需求；</w:t>
      </w:r>
    </w:p>
    <w:p w14:paraId="363F950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4.配备四片式或两片式可升降PP树脂或铝合金护栏，锁止可靠，防止患者跌落；</w:t>
      </w:r>
    </w:p>
    <w:p w14:paraId="02C7809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5.采用中控刹车系统，一脚制动，同时锁定四个轮子，脚轮直径≥150mm，静音耐磨。</w:t>
      </w:r>
    </w:p>
    <w:p w14:paraId="0370159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6.配备可升降、可拆卸的输液杆插座，并配有1-2根伸缩式不锈钢输液杆。</w:t>
      </w:r>
    </w:p>
    <w:p w14:paraId="64BAF65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7.床体头部或底部配备氧气瓶托架。</w:t>
      </w:r>
    </w:p>
    <w:p w14:paraId="41801F6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8.配有转运床垫，厚度≥60mm，面料防水透气，易清洁，内胆高弹性，防压疮；</w:t>
      </w:r>
    </w:p>
    <w:p w14:paraId="04AF4C4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9.床体四角配有防撞轮及牵引钩，方便连动转运。 </w:t>
      </w:r>
    </w:p>
    <w:p w14:paraId="44C5B22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序号38、产后病区-诊查床功能用途：</w:t>
      </w:r>
    </w:p>
    <w:p w14:paraId="0897E08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用于妇科检查或治疗。</w:t>
      </w:r>
    </w:p>
    <w:p w14:paraId="637EB14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2224B8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1.电动妇科诊察床，床体由手控器控制升降，通过操作开关可使背板上下折转，床面前后倾斜，具体调节位置操纵方便迅速，安全可靠；</w:t>
      </w:r>
    </w:p>
    <w:p w14:paraId="22B0F25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2.底座采用优质不锈钢，耐消毒、易清洁,充分满足手术后床台消毒；</w:t>
      </w:r>
    </w:p>
    <w:p w14:paraId="7D71B3A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3.床垫有效缓解患者压力点，防止术后褥疮发生；床垫材质符合安全标准，表面抗菌、易清洁，符合院感消毒要求；</w:t>
      </w:r>
    </w:p>
    <w:p w14:paraId="11E5059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4.标配蓄电池，可满足医院在断电情况下正常工作；</w:t>
      </w:r>
    </w:p>
    <w:p w14:paraId="238360C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5.床面长度：≥1220mm（±20mm），床面宽度：≥595（±20）mm，床面高度（含床垫）：最低710(±20)--930(±20)mm ，床面升距：220±20mm，背板上折角度：≥75°，背板下折角度：≥10°，前倾角度：≥20°，后倾角度：≥20°。 </w:t>
      </w:r>
    </w:p>
    <w:p w14:paraId="3C8C4921">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序号39、儿科病区-诊查床功能用途：</w:t>
      </w:r>
    </w:p>
    <w:p w14:paraId="2BF2A8D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病房通用护理设备。</w:t>
      </w:r>
    </w:p>
    <w:p w14:paraId="05C60C3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562208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儿科病房用检查床，长度 1900-2000mm，宽度 800-900mm，床面高度 500-650mm，防水透气床垫，厚度≥60mm，床腿带加强横杆及防滑脚套。 </w:t>
      </w:r>
    </w:p>
    <w:p w14:paraId="16642E78">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序号40、生殖中心-男科检查床功能用途：</w:t>
      </w:r>
    </w:p>
    <w:p w14:paraId="481339D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男科检查用。</w:t>
      </w:r>
    </w:p>
    <w:p w14:paraId="7E42287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C007C6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 xml:space="preserve">无特殊要求，可以参考鼓楼医院本部现用样式。 </w:t>
      </w:r>
    </w:p>
    <w:p w14:paraId="5A31A88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序号41、妇科门诊手术室-妇科检查台功能用途：</w:t>
      </w:r>
    </w:p>
    <w:p w14:paraId="25498AC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用于妇科手术器械、布类包的支撑台面。</w:t>
      </w:r>
    </w:p>
    <w:p w14:paraId="5FD0526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8F9B9C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检查台带轮子，可固定、可移动。配置包含上下台面、万向轮等。 </w:t>
      </w:r>
    </w:p>
    <w:p w14:paraId="22DC64F6">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序号42、妇科病区、妇科门诊、产科门诊、产前病区-妇科检查床功能用途：</w:t>
      </w:r>
    </w:p>
    <w:p w14:paraId="5943E7D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用于孕妇妇科检查、治疗及产前常规检查，可调节体位。</w:t>
      </w:r>
    </w:p>
    <w:p w14:paraId="6FC9C50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A3BFBC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1.床体额定载荷≥135Kg，支持调节范围：背板以水平为基准可在-15°~60°范围内任意调节；</w:t>
      </w:r>
    </w:p>
    <w:p w14:paraId="5900AA7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2.主框架采用碳钢焊管，床面板采用冷轧板，背板升降机构采用蜗轮机构；</w:t>
      </w:r>
    </w:p>
    <w:p w14:paraId="6C52661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3.附件：配备靠肩架、托腿架、手柄，污物盒、护手板；</w:t>
      </w:r>
    </w:p>
    <w:p w14:paraId="6F02658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4.床垫：外表面人造革，内衬泡沫海绵。   </w:t>
      </w:r>
    </w:p>
    <w:p w14:paraId="25D3A3B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序号43、产科门诊-产科检查床功能用途：</w:t>
      </w:r>
    </w:p>
    <w:p w14:paraId="48392F6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用于孕妇产前检查及产后处理，提供舒适、安全的检查环境。</w:t>
      </w:r>
    </w:p>
    <w:p w14:paraId="0656845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3F428D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平床，高度75-80cm，配有10cm厚高弹性海绵皮革软面床垫。 </w:t>
      </w:r>
    </w:p>
    <w:p w14:paraId="583DFAD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序号44、妇保设备-共有设施设备-医用诊疗床功能用途：</w:t>
      </w:r>
    </w:p>
    <w:p w14:paraId="3B0F88B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用于门诊诊疗。</w:t>
      </w:r>
    </w:p>
    <w:p w14:paraId="6C57979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025BD4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尺寸长185宽70高65，床头平无孔，佩枕头.不锈钢，采用201不锈钢厚度0.8。床腿60圆管，横梁4x4方管，框架33x21的方管.床面，采用阻燃耐刮防水环保皮无异味.海绵，厚度3公分，48D高密度全新海绵.床板，厚度1.5公分建筑覆膜板，床板底部实木条加固。  </w:t>
      </w:r>
    </w:p>
    <w:p w14:paraId="51E0904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序号45、医学影像科-过床滑板功能用途：</w:t>
      </w:r>
    </w:p>
    <w:p w14:paraId="45D6227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帮助医护人员实现病人床与床之间的转移。</w:t>
      </w:r>
    </w:p>
    <w:p w14:paraId="693B2BC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220D03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厚度≥6mm，高韧性，绝缘，可透X射线，板身轻巧、富弹力，防撞击能力极高，易于清洗，用法简单安全，板身无任何死角，确保卫生。 </w:t>
      </w:r>
    </w:p>
    <w:p w14:paraId="0ADF137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序号46、妇产科超声室-超声检查床功能用途：</w:t>
      </w:r>
    </w:p>
    <w:p w14:paraId="44459FA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患者超声检查用检查床，用以支撑患者身体，形成临床所需体位。</w:t>
      </w:r>
    </w:p>
    <w:p w14:paraId="05A0A17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1F0AE3C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1.规格要求：长度≥200cm，宽度≥65cm，电动升降高度包含60cm-85cm，臀部电动升降范围包含0-10cm，整体升降最大承重≥170Kg；</w:t>
      </w:r>
    </w:p>
    <w:p w14:paraId="7F110A0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2.具备功能：自带换纸功能，电子自动纠偏系统；自动更换床单功能；臀部自动抬升功能；全功能一键复位功能；</w:t>
      </w:r>
    </w:p>
    <w:p w14:paraId="49CAC4B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 xml:space="preserve">3.配备：静音万向轮带锁，抗菌耐磨防水防腐床面，遥控面板等。 </w:t>
      </w:r>
    </w:p>
    <w:p w14:paraId="0BF79E4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设备需求：</w:t>
      </w:r>
      <w:r>
        <w:rPr>
          <w:rFonts w:hint="eastAsia" w:ascii="方正仿宋简体" w:hAnsi="方正仿宋简体" w:eastAsia="方正仿宋简体" w:cs="方正仿宋简体"/>
          <w:b w:val="0"/>
          <w:bCs w:val="0"/>
          <w:color w:val="auto"/>
          <w:kern w:val="2"/>
          <w:sz w:val="24"/>
          <w:szCs w:val="24"/>
          <w:lang w:val="en-US" w:eastAsia="zh-CN" w:bidi="ar-SA"/>
        </w:rPr>
        <w:t xml:space="preserve"> </w:t>
      </w:r>
    </w:p>
    <w:p w14:paraId="5DF7ECAB">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每台各配置1把超声检查椅，检查椅高度、座垫、背靠可调节，脚轮静音耐磨耐用。</w:t>
      </w:r>
    </w:p>
    <w:p w14:paraId="686E7938">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序号47、生殖中心-妇科手术床功能用途：</w:t>
      </w:r>
    </w:p>
    <w:p w14:paraId="0EAB361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主要用于妇科检查、妇科手术、辅助生殖技术操作（如取卵、胚胎移植）。</w:t>
      </w:r>
    </w:p>
    <w:p w14:paraId="658155E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r>
        <w:rPr>
          <w:rFonts w:hint="eastAsia" w:ascii="方正仿宋简体" w:hAnsi="方正仿宋简体" w:eastAsia="方正仿宋简体" w:cs="方正仿宋简体"/>
          <w:b w:val="0"/>
          <w:bCs w:val="0"/>
          <w:color w:val="auto"/>
          <w:kern w:val="2"/>
          <w:sz w:val="24"/>
          <w:szCs w:val="24"/>
          <w:lang w:val="en-US" w:eastAsia="zh-CN" w:bidi="ar-SA"/>
        </w:rPr>
        <w:t xml:space="preserve"> </w:t>
      </w:r>
    </w:p>
    <w:p w14:paraId="1359F6C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手术床需满足经阴道取卵手术、胚胎移植术、经阴道穿刺放腹水、减胎术等手术要求，可实现椅体升降、背板、坐板的各种高精度体位的实时调节；550-1150mm 的宽幅升降范围，可通过可视性手持控制器及脚踏控制器同时实现。正常工作负载承重为 200kg，并配有椅体倾斜保护功能。可加装LED照明灯、各种腿部支撑及手脚托、各种延长板及支撑板、污物盆等。多种专业体位，除膀胱截石体位外，亦可实现完全平卧体位，甚至头低脚高位，坐板亦可提供下倾-5度的前倾，以满足妇科诊疗特殊体位的要求。</w:t>
      </w:r>
    </w:p>
    <w:p w14:paraId="73394B8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序号48、超声医学科-超声检查床（配套耗材）功能用途：</w:t>
      </w:r>
    </w:p>
    <w:p w14:paraId="4D2D771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用于超声检查时病人躺卧、摆放体位，自动更换一次性床单。</w:t>
      </w:r>
    </w:p>
    <w:p w14:paraId="2901E55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r>
        <w:rPr>
          <w:rFonts w:hint="eastAsia" w:ascii="方正仿宋简体" w:hAnsi="方正仿宋简体" w:eastAsia="方正仿宋简体" w:cs="方正仿宋简体"/>
          <w:b w:val="0"/>
          <w:bCs w:val="0"/>
          <w:color w:val="auto"/>
          <w:kern w:val="2"/>
          <w:sz w:val="24"/>
          <w:szCs w:val="24"/>
          <w:lang w:val="en-US" w:eastAsia="zh-CN" w:bidi="ar-SA"/>
        </w:rPr>
        <w:t xml:space="preserve"> </w:t>
      </w:r>
    </w:p>
    <w:p w14:paraId="54E10DB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全自动智能纠偏更换检查垫，床高度可调节，枕头可移动。①床面尺寸：2000mm*650mm，高度可调节；</w:t>
      </w:r>
    </w:p>
    <w:p w14:paraId="60D8A09F">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②床架主体为优质高强度冷轧钢，静态载荷≥175KG；</w:t>
      </w:r>
    </w:p>
    <w:p w14:paraId="21A1A544">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③床面及垫枕材质耐磨、防水、抗菌、防火、防腐、防紫外线，内部采用高密度海绵，垫枕可移动；</w:t>
      </w:r>
    </w:p>
    <w:p w14:paraId="14ADBC8A">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④具有万向静音脚轮。</w:t>
      </w:r>
    </w:p>
    <w:p w14:paraId="7292E7F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序号49、超声医学科-医用诊疗椅功能用途：</w:t>
      </w:r>
    </w:p>
    <w:p w14:paraId="4FC2F92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用于医务人员实施检查，符合人体工程学设计，减少因久坐对医师身体的职业伤害；用于胸腔穿刺引流等治疗过程中患者体位支撑。</w:t>
      </w:r>
    </w:p>
    <w:p w14:paraId="583B443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72B2ACC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 xml:space="preserve">诊疗椅由基座、背板、坐垫和搁脚架组成，基座升降气杆大于10万次使用寿命，气缸承重≥100KG；背板带侧翼支撑扶手，后倾角度≥10°；椅面高度调节范围：540-680mm，前后移动范围：50±20mm；脚轮具有重力自动锁功能，整体承重≥175KG，整体安全承重和抗冲击重量≥100KG。  </w:t>
      </w:r>
    </w:p>
    <w:p w14:paraId="463BB2C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序号50、手术室-变温毯（配套耗材）功能用途：</w:t>
      </w:r>
    </w:p>
    <w:p w14:paraId="25C797B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医用加热垫/毯，用于术中患者的体温维持及术后的复温，双通道加温主机，双通道体温监测。</w:t>
      </w:r>
    </w:p>
    <w:p w14:paraId="13B7EDE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5FB4AB38">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主机双通道加热，双通道体温监测，整体机型小巧可悬挂或固定在床边；</w:t>
      </w:r>
    </w:p>
    <w:p w14:paraId="2688EAB2">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具有自动加温、手动加温模式，加热垫采用直流安全低电压加热，加热电压≤24V；</w:t>
      </w:r>
    </w:p>
    <w:p w14:paraId="750C85AD">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输出温度设定最高≤40℃，步进≤0.1℃；</w:t>
      </w:r>
    </w:p>
    <w:p w14:paraId="0688C9B6">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具备多重安全保护装置，设有独立的过温保护装置，确保设备异常时不会对病人造成伤害；</w:t>
      </w:r>
    </w:p>
    <w:p w14:paraId="16696AA8">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加热垫/毯多层设计，至少具有发热层、保护层、阻燃层、压力缓冲层、接触层；</w:t>
      </w:r>
    </w:p>
    <w:p w14:paraId="1E08B657">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碳纤维发热材料，发热均匀，内置的压力缓冲层可有效预防褥疮，接触表层柔软、防水、耐磨、易清洁；</w:t>
      </w:r>
    </w:p>
    <w:p w14:paraId="782BE611">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加热垫可重复使用，可透X光，可卷曲存放，整体具有防水排气功能，防水等级≥IPX7；</w:t>
      </w:r>
    </w:p>
    <w:p w14:paraId="176D963E">
      <w:pPr>
        <w:keepNext w:val="0"/>
        <w:keepLines w:val="0"/>
        <w:pageBreakBefore w:val="0"/>
        <w:widowControl/>
        <w:numPr>
          <w:ilvl w:val="0"/>
          <w:numId w:val="14"/>
        </w:numPr>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 xml:space="preserve">加热垫/毯内置温度监测传感器≥6个，垫子尺寸适合手术床的大小，长度1900±20mm，宽度520±10mm，高/厚度≥30mm；毯子尺寸长度1000±20mm，宽度700±10mm，高/厚度≥15mm  。  </w:t>
      </w:r>
    </w:p>
    <w:p w14:paraId="15AF7E65">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序号51、手术室-医用加压器及其配件（妇科水泵）功能用途：</w:t>
      </w:r>
    </w:p>
    <w:p w14:paraId="58FE6EA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适用于妇科宫腔镜检查和手术过程中，对子宫进行液体加压膨胀，以形成良好的可视操作空间。</w:t>
      </w:r>
    </w:p>
    <w:p w14:paraId="4F6A548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22EA2C0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highlight w:val="none"/>
          <w:lang w:val="en-US" w:eastAsia="zh-CN" w:bidi="ar-SA"/>
        </w:rPr>
      </w:pPr>
      <w:r>
        <w:rPr>
          <w:rFonts w:hint="eastAsia" w:ascii="方正仿宋简体" w:hAnsi="方正仿宋简体" w:eastAsia="方正仿宋简体" w:cs="方正仿宋简体"/>
          <w:b w:val="0"/>
          <w:bCs w:val="0"/>
          <w:color w:val="auto"/>
          <w:kern w:val="2"/>
          <w:sz w:val="24"/>
          <w:szCs w:val="24"/>
          <w:highlight w:val="none"/>
          <w:lang w:val="en-US" w:eastAsia="zh-CN" w:bidi="ar-SA"/>
        </w:rPr>
        <w:t xml:space="preserve">采用滚动挤压泵或类似原理产生稳定的脉冲水流，通过持续灌注液体并控制腔内压力，维持宫腔的膨胀状态；设备应具备预设工作压力功能，实际压力高于预设值时自动停止灌注，低于预设值时自动启动，实现自动稳压；压力设定范围不低于0~250mmHg；流量设定范围不低于0~1.0L/min，流量应支持连续可调，适应不同手术阶段需求；配备数码或液晶显示屏，能够实时显示预设压力和实际压力、预设流量和实际流量，全程监控工作状态；应具备超压报警并自动泄压/停机功能；泵管及压力传感器管路应可耐受高温高压灭菌（134℃），或支持浸泡、熏蒸消毒。  </w:t>
      </w:r>
    </w:p>
    <w:p w14:paraId="63BF647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简体" w:hAnsi="方正仿宋简体" w:eastAsia="方正仿宋简体" w:cs="方正仿宋简体"/>
          <w:b/>
          <w:bCs/>
          <w:color w:val="auto"/>
          <w:sz w:val="24"/>
          <w:szCs w:val="24"/>
          <w:lang w:val="en-US" w:eastAsia="zh-CN"/>
        </w:rPr>
      </w:pPr>
      <w:r>
        <w:rPr>
          <w:rFonts w:hint="eastAsia" w:ascii="方正仿宋简体" w:hAnsi="方正仿宋简体" w:eastAsia="方正仿宋简体" w:cs="方正仿宋简体"/>
          <w:b/>
          <w:bCs/>
          <w:color w:val="auto"/>
          <w:sz w:val="24"/>
          <w:szCs w:val="24"/>
          <w:lang w:val="en-US" w:eastAsia="zh-CN"/>
        </w:rPr>
        <w:t>包4：手术器械</w:t>
      </w:r>
    </w:p>
    <w:tbl>
      <w:tblPr>
        <w:tblStyle w:val="17"/>
        <w:tblW w:w="10705" w:type="dxa"/>
        <w:tblInd w:w="-4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3017"/>
        <w:gridCol w:w="4199"/>
        <w:gridCol w:w="1377"/>
        <w:gridCol w:w="1400"/>
      </w:tblGrid>
      <w:tr w14:paraId="02885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exact"/>
        </w:trPr>
        <w:tc>
          <w:tcPr>
            <w:tcW w:w="712" w:type="dxa"/>
            <w:tcBorders>
              <w:top w:val="single" w:color="auto" w:sz="4" w:space="0"/>
              <w:left w:val="single" w:color="auto" w:sz="4" w:space="0"/>
              <w:bottom w:val="single" w:color="auto" w:sz="4" w:space="0"/>
              <w:right w:val="single" w:color="000000" w:sz="4" w:space="0"/>
            </w:tcBorders>
            <w:shd w:val="clear" w:color="auto" w:fill="auto"/>
            <w:vAlign w:val="center"/>
          </w:tcPr>
          <w:p w14:paraId="54BE183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序号</w:t>
            </w:r>
          </w:p>
        </w:tc>
        <w:tc>
          <w:tcPr>
            <w:tcW w:w="3017" w:type="dxa"/>
            <w:tcBorders>
              <w:top w:val="single" w:color="auto" w:sz="4" w:space="0"/>
              <w:left w:val="single" w:color="000000" w:sz="4" w:space="0"/>
              <w:bottom w:val="single" w:color="auto" w:sz="4" w:space="0"/>
              <w:right w:val="single" w:color="auto" w:sz="4" w:space="0"/>
            </w:tcBorders>
            <w:shd w:val="clear" w:color="auto" w:fill="auto"/>
            <w:vAlign w:val="center"/>
          </w:tcPr>
          <w:p w14:paraId="7E8E00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科室</w:t>
            </w:r>
          </w:p>
        </w:tc>
        <w:tc>
          <w:tcPr>
            <w:tcW w:w="4199" w:type="dxa"/>
            <w:tcBorders>
              <w:top w:val="single" w:color="auto" w:sz="4" w:space="0"/>
              <w:left w:val="single" w:color="000000" w:sz="4" w:space="0"/>
              <w:bottom w:val="single" w:color="auto" w:sz="4" w:space="0"/>
              <w:right w:val="single" w:color="auto" w:sz="4" w:space="0"/>
            </w:tcBorders>
            <w:shd w:val="clear" w:color="auto" w:fill="auto"/>
            <w:vAlign w:val="center"/>
          </w:tcPr>
          <w:p w14:paraId="3BFAD2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设备名称</w:t>
            </w:r>
          </w:p>
        </w:tc>
        <w:tc>
          <w:tcPr>
            <w:tcW w:w="1377" w:type="dxa"/>
            <w:tcBorders>
              <w:top w:val="single" w:color="auto" w:sz="4" w:space="0"/>
              <w:left w:val="single" w:color="auto" w:sz="4" w:space="0"/>
              <w:bottom w:val="single" w:color="000000" w:sz="4" w:space="0"/>
              <w:right w:val="single" w:color="auto" w:sz="4" w:space="0"/>
            </w:tcBorders>
            <w:shd w:val="clear" w:color="auto" w:fill="auto"/>
            <w:vAlign w:val="center"/>
          </w:tcPr>
          <w:p w14:paraId="1F1D49A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需求数量    （台、套）</w:t>
            </w:r>
          </w:p>
        </w:tc>
        <w:tc>
          <w:tcPr>
            <w:tcW w:w="1400" w:type="dxa"/>
            <w:tcBorders>
              <w:top w:val="single" w:color="auto" w:sz="4" w:space="0"/>
              <w:left w:val="single" w:color="auto" w:sz="4" w:space="0"/>
              <w:bottom w:val="single" w:color="000000" w:sz="4" w:space="0"/>
              <w:right w:val="single" w:color="auto" w:sz="4" w:space="0"/>
            </w:tcBorders>
            <w:shd w:val="clear" w:color="auto" w:fill="auto"/>
            <w:vAlign w:val="center"/>
          </w:tcPr>
          <w:p w14:paraId="4FA0E34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0"/>
                <w:sz w:val="24"/>
                <w:szCs w:val="24"/>
                <w:u w:val="none"/>
                <w:lang w:val="en-US" w:eastAsia="zh-CN" w:bidi="ar"/>
              </w:rPr>
            </w:pPr>
            <w:r>
              <w:rPr>
                <w:rFonts w:hint="eastAsia" w:ascii="方正仿宋简体" w:hAnsi="方正仿宋简体" w:eastAsia="方正仿宋简体" w:cs="方正仿宋简体"/>
                <w:b w:val="0"/>
                <w:bCs w:val="0"/>
                <w:i w:val="0"/>
                <w:iCs w:val="0"/>
                <w:color w:val="000000"/>
                <w:kern w:val="0"/>
                <w:sz w:val="24"/>
                <w:szCs w:val="24"/>
                <w:u w:val="none"/>
                <w:lang w:val="en-US" w:eastAsia="zh-CN" w:bidi="ar"/>
              </w:rPr>
              <w:t>预算价格  （万元）</w:t>
            </w:r>
          </w:p>
        </w:tc>
      </w:tr>
      <w:tr w14:paraId="410D3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exact"/>
        </w:trPr>
        <w:tc>
          <w:tcPr>
            <w:tcW w:w="712" w:type="dxa"/>
            <w:tcBorders>
              <w:top w:val="single" w:color="auto" w:sz="4" w:space="0"/>
              <w:left w:val="single" w:color="auto" w:sz="4" w:space="0"/>
              <w:bottom w:val="single" w:color="auto" w:sz="4" w:space="0"/>
              <w:right w:val="single" w:color="000000" w:sz="4" w:space="0"/>
            </w:tcBorders>
            <w:shd w:val="clear" w:color="auto" w:fill="auto"/>
            <w:vAlign w:val="center"/>
          </w:tcPr>
          <w:p w14:paraId="28D1506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1</w:t>
            </w:r>
          </w:p>
        </w:tc>
        <w:tc>
          <w:tcPr>
            <w:tcW w:w="3017" w:type="dxa"/>
            <w:tcBorders>
              <w:top w:val="single" w:color="auto" w:sz="4" w:space="0"/>
              <w:left w:val="single" w:color="000000" w:sz="4" w:space="0"/>
              <w:bottom w:val="single" w:color="auto" w:sz="4" w:space="0"/>
              <w:right w:val="single" w:color="auto" w:sz="4" w:space="0"/>
            </w:tcBorders>
            <w:shd w:val="clear" w:color="auto" w:fill="auto"/>
            <w:vAlign w:val="center"/>
          </w:tcPr>
          <w:p w14:paraId="43F92446">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4199" w:type="dxa"/>
            <w:tcBorders>
              <w:top w:val="single" w:color="auto" w:sz="4" w:space="0"/>
              <w:left w:val="single" w:color="000000" w:sz="4" w:space="0"/>
              <w:bottom w:val="single" w:color="auto" w:sz="4" w:space="0"/>
              <w:right w:val="single" w:color="auto" w:sz="4" w:space="0"/>
            </w:tcBorders>
            <w:shd w:val="clear" w:color="auto" w:fill="auto"/>
            <w:vAlign w:val="center"/>
          </w:tcPr>
          <w:p w14:paraId="71258237">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国产超声刀（配套耗材/试剂项目）</w:t>
            </w:r>
          </w:p>
        </w:tc>
        <w:tc>
          <w:tcPr>
            <w:tcW w:w="1377" w:type="dxa"/>
            <w:tcBorders>
              <w:top w:val="single" w:color="auto" w:sz="4" w:space="0"/>
              <w:left w:val="single" w:color="auto" w:sz="4" w:space="0"/>
              <w:bottom w:val="single" w:color="000000" w:sz="4" w:space="0"/>
              <w:right w:val="single" w:color="auto" w:sz="4" w:space="0"/>
            </w:tcBorders>
            <w:shd w:val="clear" w:color="auto" w:fill="auto"/>
            <w:vAlign w:val="center"/>
          </w:tcPr>
          <w:p w14:paraId="76543CA7">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6</w:t>
            </w:r>
          </w:p>
        </w:tc>
        <w:tc>
          <w:tcPr>
            <w:tcW w:w="1400" w:type="dxa"/>
            <w:tcBorders>
              <w:top w:val="single" w:color="auto" w:sz="4" w:space="0"/>
              <w:left w:val="single" w:color="auto" w:sz="4" w:space="0"/>
              <w:bottom w:val="single" w:color="000000" w:sz="4" w:space="0"/>
              <w:right w:val="single" w:color="auto" w:sz="4" w:space="0"/>
            </w:tcBorders>
            <w:shd w:val="clear" w:color="auto" w:fill="auto"/>
            <w:vAlign w:val="center"/>
          </w:tcPr>
          <w:p w14:paraId="62249B51">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0.9</w:t>
            </w:r>
          </w:p>
        </w:tc>
      </w:tr>
      <w:tr w14:paraId="445E6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12" w:type="dxa"/>
            <w:tcBorders>
              <w:left w:val="single" w:color="auto" w:sz="4" w:space="0"/>
              <w:bottom w:val="single" w:color="auto" w:sz="4" w:space="0"/>
              <w:right w:val="single" w:color="auto" w:sz="4" w:space="0"/>
            </w:tcBorders>
            <w:shd w:val="clear" w:color="auto" w:fill="auto"/>
            <w:vAlign w:val="center"/>
          </w:tcPr>
          <w:p w14:paraId="5B7802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2"/>
                <w:sz w:val="24"/>
                <w:szCs w:val="24"/>
                <w:u w:val="none"/>
                <w:lang w:val="en-US" w:eastAsia="zh-CN" w:bidi="ar-SA"/>
              </w:rPr>
            </w:pPr>
            <w:r>
              <w:rPr>
                <w:rFonts w:hint="eastAsia" w:ascii="方正仿宋简体" w:hAnsi="方正仿宋简体" w:eastAsia="方正仿宋简体" w:cs="方正仿宋简体"/>
                <w:b w:val="0"/>
                <w:bCs w:val="0"/>
                <w:i w:val="0"/>
                <w:iCs w:val="0"/>
                <w:color w:val="000000"/>
                <w:sz w:val="24"/>
                <w:szCs w:val="24"/>
                <w:u w:val="none"/>
                <w:lang w:val="en-US" w:eastAsia="zh-CN"/>
              </w:rPr>
              <w:t>2</w:t>
            </w:r>
          </w:p>
        </w:tc>
        <w:tc>
          <w:tcPr>
            <w:tcW w:w="3017" w:type="dxa"/>
            <w:tcBorders>
              <w:top w:val="single" w:color="auto" w:sz="4" w:space="0"/>
              <w:left w:val="single" w:color="auto" w:sz="4" w:space="0"/>
              <w:bottom w:val="single" w:color="auto" w:sz="4" w:space="0"/>
              <w:right w:val="single" w:color="auto" w:sz="4" w:space="0"/>
            </w:tcBorders>
            <w:shd w:val="clear" w:color="auto" w:fill="auto"/>
            <w:vAlign w:val="center"/>
          </w:tcPr>
          <w:p w14:paraId="452040E7">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4199" w:type="dxa"/>
            <w:tcBorders>
              <w:top w:val="single" w:color="auto" w:sz="4" w:space="0"/>
              <w:left w:val="single" w:color="auto" w:sz="4" w:space="0"/>
              <w:bottom w:val="single" w:color="auto" w:sz="4" w:space="0"/>
              <w:right w:val="single" w:color="auto" w:sz="4" w:space="0"/>
            </w:tcBorders>
            <w:shd w:val="clear" w:color="auto" w:fill="auto"/>
            <w:vAlign w:val="center"/>
          </w:tcPr>
          <w:p w14:paraId="3978B96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电动子宫切除器</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1519313E">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6A511B5E">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5.1</w:t>
            </w:r>
          </w:p>
        </w:tc>
      </w:tr>
      <w:tr w14:paraId="423A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exact"/>
        </w:trPr>
        <w:tc>
          <w:tcPr>
            <w:tcW w:w="712" w:type="dxa"/>
            <w:tcBorders>
              <w:left w:val="single" w:color="auto" w:sz="4" w:space="0"/>
              <w:bottom w:val="single" w:color="auto" w:sz="4" w:space="0"/>
              <w:right w:val="single" w:color="auto" w:sz="4" w:space="0"/>
            </w:tcBorders>
            <w:shd w:val="clear" w:color="auto" w:fill="auto"/>
            <w:vAlign w:val="center"/>
          </w:tcPr>
          <w:p w14:paraId="64A91F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4"/>
                <w:szCs w:val="24"/>
                <w:u w:val="none"/>
                <w:lang w:val="en-US" w:eastAsia="zh-CN"/>
              </w:rPr>
            </w:pPr>
            <w:r>
              <w:rPr>
                <w:rFonts w:hint="eastAsia" w:ascii="方正仿宋简体" w:hAnsi="方正仿宋简体" w:eastAsia="方正仿宋简体" w:cs="方正仿宋简体"/>
                <w:b w:val="0"/>
                <w:bCs w:val="0"/>
                <w:i w:val="0"/>
                <w:iCs w:val="0"/>
                <w:color w:val="000000"/>
                <w:sz w:val="24"/>
                <w:szCs w:val="24"/>
                <w:u w:val="none"/>
                <w:lang w:val="en-US" w:eastAsia="zh-CN"/>
              </w:rPr>
              <w:t>3</w:t>
            </w:r>
          </w:p>
        </w:tc>
        <w:tc>
          <w:tcPr>
            <w:tcW w:w="3017" w:type="dxa"/>
            <w:tcBorders>
              <w:top w:val="single" w:color="auto" w:sz="4" w:space="0"/>
              <w:left w:val="single" w:color="auto" w:sz="4" w:space="0"/>
              <w:bottom w:val="single" w:color="auto" w:sz="4" w:space="0"/>
              <w:right w:val="single" w:color="auto" w:sz="4" w:space="0"/>
            </w:tcBorders>
            <w:shd w:val="clear" w:color="auto" w:fill="auto"/>
            <w:vAlign w:val="center"/>
          </w:tcPr>
          <w:p w14:paraId="680BA9EB">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手术室</w:t>
            </w:r>
          </w:p>
        </w:tc>
        <w:tc>
          <w:tcPr>
            <w:tcW w:w="4199" w:type="dxa"/>
            <w:tcBorders>
              <w:top w:val="single" w:color="auto" w:sz="4" w:space="0"/>
              <w:left w:val="single" w:color="auto" w:sz="4" w:space="0"/>
              <w:bottom w:val="single" w:color="auto" w:sz="4" w:space="0"/>
              <w:right w:val="single" w:color="auto" w:sz="4" w:space="0"/>
            </w:tcBorders>
            <w:shd w:val="clear" w:color="auto" w:fill="auto"/>
            <w:vAlign w:val="center"/>
          </w:tcPr>
          <w:p w14:paraId="0E90C6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高频手术系统（妇科等离子电切系统）（配套耗材）</w:t>
            </w:r>
          </w:p>
        </w:tc>
        <w:tc>
          <w:tcPr>
            <w:tcW w:w="1377" w:type="dxa"/>
            <w:tcBorders>
              <w:top w:val="single" w:color="000000" w:sz="4" w:space="0"/>
              <w:left w:val="single" w:color="auto" w:sz="4" w:space="0"/>
              <w:bottom w:val="single" w:color="000000" w:sz="4" w:space="0"/>
              <w:right w:val="single" w:color="auto" w:sz="4" w:space="0"/>
            </w:tcBorders>
            <w:shd w:val="clear" w:color="auto" w:fill="auto"/>
            <w:vAlign w:val="center"/>
          </w:tcPr>
          <w:p w14:paraId="16C89FC2">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1</w:t>
            </w:r>
          </w:p>
        </w:tc>
        <w:tc>
          <w:tcPr>
            <w:tcW w:w="1400" w:type="dxa"/>
            <w:tcBorders>
              <w:top w:val="single" w:color="000000" w:sz="4" w:space="0"/>
              <w:left w:val="single" w:color="auto" w:sz="4" w:space="0"/>
              <w:bottom w:val="single" w:color="000000" w:sz="4" w:space="0"/>
              <w:right w:val="single" w:color="auto" w:sz="4" w:space="0"/>
            </w:tcBorders>
            <w:shd w:val="clear" w:color="auto" w:fill="auto"/>
            <w:vAlign w:val="center"/>
          </w:tcPr>
          <w:p w14:paraId="4F99A3B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4"/>
                <w:szCs w:val="24"/>
                <w:u w:val="none"/>
                <w:lang w:val="en-US" w:eastAsia="zh-CN" w:bidi="ar"/>
              </w:rPr>
            </w:pPr>
            <w:r>
              <w:rPr>
                <w:rFonts w:hint="eastAsia" w:ascii="方正仿宋简体" w:hAnsi="方正仿宋简体" w:eastAsia="方正仿宋简体" w:cs="方正仿宋简体"/>
                <w:i w:val="0"/>
                <w:iCs w:val="0"/>
                <w:color w:val="000000"/>
                <w:kern w:val="0"/>
                <w:sz w:val="24"/>
                <w:szCs w:val="24"/>
                <w:u w:val="none"/>
                <w:lang w:val="en-US" w:eastAsia="zh-CN" w:bidi="ar"/>
              </w:rPr>
              <w:t>3.5</w:t>
            </w:r>
          </w:p>
        </w:tc>
      </w:tr>
    </w:tbl>
    <w:p w14:paraId="3108DB5C">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序号1、手术室-国产超声刀（配套耗材/试剂项目）功能用途：</w:t>
      </w:r>
    </w:p>
    <w:p w14:paraId="0716B04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适用于普外科、妇产科、泌尿外科、甲乳等开放 / 腔镜手术，实现组织切割、凝闭、止血，可安全处理5mm 及以上血管。</w:t>
      </w:r>
    </w:p>
    <w:p w14:paraId="754D2BD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35935E0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55.5kHz±1kHz高频机械振动频率，刀头振幅：50–100μm，横向振幅≤10μm，保证切割效率与止血效果；刀头末端纵向振幅55-100μm，工作温度控制在60-100℃，具备凝闭3-5mm血管能力（视刀头型号而定）；配套5mm、10mm一次性剪切式刀头、枪式刀头（长度14cm、23cm、36cm、45cm多规格可选），集成组织阻抗实时反馈或双路功率自动跟踪功能（识别组织凝闭程度并提示或自动降频），支持脚踏与手控双模式激活，发生器配备中文操作界面、故障自检代码显示及音量可调报警系统，一次性刀头与主机采用双密钥或智能芯片识别设计确保匹配性，与标准腹腔镜穿刺器（5mm/10mm）及高温高压蒸汽灭菌流程兼容，适用于腹腔镜及开放手术下软组织的精准切割与血管凝闭。</w:t>
      </w:r>
    </w:p>
    <w:p w14:paraId="28158C1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设备需求：</w:t>
      </w:r>
    </w:p>
    <w:p w14:paraId="44DF607E">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超声刀刀头需在南京市集采目录内，若是分体式手柄，至少需配置2把手柄，需配台车。</w:t>
      </w:r>
    </w:p>
    <w:p w14:paraId="7F05C6F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序号2、手术室-电动子宫切除器功能用途：</w:t>
      </w:r>
    </w:p>
    <w:p w14:paraId="4BCF56A7">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用于妇科微创手术，切割子宫或肌瘤。</w:t>
      </w:r>
    </w:p>
    <w:p w14:paraId="4340D39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47F37DC6">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设备提供稳定的旋转动力，具备无级变速功能，能根据手术需要（如切割、粉碎不同阶段）随时调节转速；应具备正向旋转和反向旋转功能，便于术中调整切割方向或处理组织缠绕；空载转速可调范围通常要求 80r/min ~ 220r/min；负载转速在100rpm时，输出扭矩应 ≥ 15 N·cm，且转速下降不得超过20%；主机需配备紧急停止开关（脚踏或手动）；配置至少包含：控制器（主机）1台、手持马达（电机）2把，不同规格的刀管套件一套。</w:t>
      </w:r>
    </w:p>
    <w:p w14:paraId="446310B9">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序号3、手术室-高频手术系统（妇科等离子电切系统）（配套耗材）功能用途：</w:t>
      </w:r>
    </w:p>
    <w:p w14:paraId="57B83606">
      <w:pPr>
        <w:keepNext w:val="0"/>
        <w:keepLines w:val="0"/>
        <w:pageBreakBefore w:val="0"/>
        <w:widowControl/>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适用于妇科在生理盐水环境下的宫腔等离子电切手术，具备双极等离子电切和电凝功能。</w:t>
      </w:r>
    </w:p>
    <w:p w14:paraId="2D0309D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方正仿宋简体" w:hAnsi="方正仿宋简体" w:eastAsia="方正仿宋简体" w:cs="方正仿宋简体"/>
          <w:b/>
          <w:bCs/>
          <w:color w:val="auto"/>
          <w:kern w:val="2"/>
          <w:sz w:val="28"/>
          <w:szCs w:val="28"/>
          <w:highlight w:val="none"/>
          <w:lang w:val="en-US" w:eastAsia="zh-CN" w:bidi="ar-SA"/>
        </w:rPr>
      </w:pPr>
      <w:r>
        <w:rPr>
          <w:rFonts w:hint="eastAsia" w:ascii="方正仿宋简体" w:hAnsi="方正仿宋简体" w:eastAsia="方正仿宋简体" w:cs="方正仿宋简体"/>
          <w:b/>
          <w:bCs/>
          <w:color w:val="auto"/>
          <w:kern w:val="2"/>
          <w:sz w:val="28"/>
          <w:szCs w:val="28"/>
          <w:highlight w:val="none"/>
          <w:lang w:val="en-US" w:eastAsia="zh-CN" w:bidi="ar-SA"/>
        </w:rPr>
        <w:t>参数要求：</w:t>
      </w:r>
    </w:p>
    <w:p w14:paraId="6F13BEEB">
      <w:pPr>
        <w:keepNext w:val="0"/>
        <w:keepLines w:val="0"/>
        <w:pageBreakBefore w:val="0"/>
        <w:widowControl/>
        <w:numPr>
          <w:ilvl w:val="0"/>
          <w:numId w:val="0"/>
        </w:numPr>
        <w:kinsoku/>
        <w:wordWrap/>
        <w:overflowPunct/>
        <w:topLinePunct w:val="0"/>
        <w:autoSpaceDE/>
        <w:autoSpaceDN/>
        <w:bidi w:val="0"/>
        <w:adjustRightInd/>
        <w:snapToGrid/>
        <w:spacing w:line="440" w:lineRule="exact"/>
        <w:jc w:val="left"/>
        <w:textAlignment w:val="auto"/>
        <w:outlineLvl w:val="9"/>
        <w:rPr>
          <w:rFonts w:hint="eastAsia" w:ascii="方正仿宋简体" w:hAnsi="方正仿宋简体" w:eastAsia="方正仿宋简体" w:cs="方正仿宋简体"/>
          <w:b w:val="0"/>
          <w:bCs w:val="0"/>
          <w:color w:val="auto"/>
          <w:kern w:val="2"/>
          <w:sz w:val="24"/>
          <w:szCs w:val="24"/>
          <w:lang w:val="en-US" w:eastAsia="zh-CN" w:bidi="ar-SA"/>
        </w:rPr>
      </w:pPr>
      <w:r>
        <w:rPr>
          <w:rFonts w:hint="eastAsia" w:ascii="方正仿宋简体" w:hAnsi="方正仿宋简体" w:eastAsia="方正仿宋简体" w:cs="方正仿宋简体"/>
          <w:b w:val="0"/>
          <w:bCs w:val="0"/>
          <w:color w:val="auto"/>
          <w:kern w:val="2"/>
          <w:sz w:val="24"/>
          <w:szCs w:val="24"/>
          <w:lang w:val="en-US" w:eastAsia="zh-CN" w:bidi="ar-SA"/>
        </w:rPr>
        <w:t>工作频率不低于300千赫兹。双极切割模式下，额定负载300欧姆时最大输出功率不小于200瓦；双极凝血模式下，额定负载100欧姆时最大输出功率不小于120瓦；具备至少两种切割模式和两种凝血模式可供选择。主机应能自动识别插入的双极电极型号，并自动匹配默认功率参数。具备彩色触摸液晶屏显示实时工作状态；工作温度控制在40至70摄氏度之间，属于低温切割，热穿透深度不超过100微米。</w:t>
      </w:r>
    </w:p>
    <w:p w14:paraId="46B10CC4">
      <w:pPr>
        <w:keepNext w:val="0"/>
        <w:keepLines w:val="0"/>
        <w:pageBreakBefore w:val="0"/>
        <w:widowControl/>
        <w:kinsoku/>
        <w:wordWrap/>
        <w:overflowPunct/>
        <w:topLinePunct w:val="0"/>
        <w:autoSpaceDE/>
        <w:autoSpaceDN/>
        <w:bidi w:val="0"/>
        <w:adjustRightInd/>
        <w:snapToGrid/>
        <w:spacing w:after="157" w:afterLines="50" w:line="360" w:lineRule="exact"/>
        <w:jc w:val="left"/>
        <w:textAlignment w:val="auto"/>
        <w:outlineLvl w:val="9"/>
        <w:rPr>
          <w:rFonts w:hint="eastAsia" w:ascii="方正仿宋简体" w:hAnsi="方正仿宋简体" w:eastAsia="方正仿宋简体" w:cs="方正仿宋简体"/>
          <w:b/>
          <w:bCs/>
          <w:color w:val="auto"/>
          <w:sz w:val="24"/>
          <w:szCs w:val="24"/>
          <w:highlight w:val="none"/>
          <w:lang w:val="en-US" w:eastAsia="zh-CN"/>
        </w:rPr>
      </w:pPr>
      <w:r>
        <w:rPr>
          <w:rFonts w:hint="eastAsia" w:ascii="方正仿宋简体" w:hAnsi="方正仿宋简体" w:eastAsia="方正仿宋简体" w:cs="方正仿宋简体"/>
          <w:b/>
          <w:bCs/>
          <w:color w:val="auto"/>
          <w:sz w:val="24"/>
          <w:szCs w:val="24"/>
          <w:highlight w:val="none"/>
          <w:lang w:eastAsia="zh-CN"/>
        </w:rPr>
        <w:t>七、包</w:t>
      </w:r>
      <w:r>
        <w:rPr>
          <w:rFonts w:hint="eastAsia" w:ascii="方正仿宋简体" w:hAnsi="方正仿宋简体" w:eastAsia="方正仿宋简体" w:cs="方正仿宋简体"/>
          <w:b/>
          <w:bCs/>
          <w:color w:val="auto"/>
          <w:sz w:val="24"/>
          <w:szCs w:val="24"/>
          <w:highlight w:val="none"/>
          <w:lang w:val="en-US" w:eastAsia="zh-CN"/>
        </w:rPr>
        <w:t>1、包2、包3、包4所有设备</w:t>
      </w:r>
      <w:r>
        <w:rPr>
          <w:rFonts w:hint="eastAsia" w:ascii="方正仿宋简体" w:hAnsi="方正仿宋简体" w:eastAsia="方正仿宋简体" w:cs="方正仿宋简体"/>
          <w:b/>
          <w:bCs/>
          <w:color w:val="auto"/>
          <w:sz w:val="24"/>
          <w:szCs w:val="24"/>
          <w:highlight w:val="none"/>
          <w:lang w:eastAsia="zh-CN"/>
        </w:rPr>
        <w:t>免费质保年限不低于</w:t>
      </w:r>
      <w:r>
        <w:rPr>
          <w:rFonts w:hint="eastAsia" w:ascii="方正仿宋简体" w:hAnsi="方正仿宋简体" w:eastAsia="方正仿宋简体" w:cs="方正仿宋简体"/>
          <w:b/>
          <w:bCs/>
          <w:color w:val="auto"/>
          <w:sz w:val="24"/>
          <w:szCs w:val="24"/>
          <w:highlight w:val="none"/>
          <w:lang w:val="en-US" w:eastAsia="zh-CN"/>
        </w:rPr>
        <w:t>5年。</w:t>
      </w:r>
    </w:p>
    <w:p w14:paraId="42934961">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方正仿宋简体" w:hAnsi="方正仿宋简体" w:eastAsia="方正仿宋简体" w:cs="方正仿宋简体"/>
          <w:b/>
          <w:bCs/>
          <w:color w:val="auto"/>
          <w:sz w:val="24"/>
          <w:szCs w:val="24"/>
          <w:highlight w:val="none"/>
          <w:lang w:val="en-US" w:eastAsia="zh-CN"/>
        </w:rPr>
      </w:pPr>
      <w:r>
        <w:rPr>
          <w:rFonts w:hint="eastAsia" w:ascii="方正仿宋简体" w:hAnsi="方正仿宋简体" w:eastAsia="方正仿宋简体" w:cs="方正仿宋简体"/>
          <w:b/>
          <w:bCs/>
          <w:color w:val="auto"/>
          <w:sz w:val="24"/>
          <w:szCs w:val="24"/>
          <w:highlight w:val="none"/>
          <w:lang w:eastAsia="zh-CN"/>
        </w:rPr>
        <w:t>八、</w:t>
      </w:r>
      <w:r>
        <w:rPr>
          <w:rFonts w:hint="eastAsia" w:ascii="方正仿宋简体" w:hAnsi="方正仿宋简体" w:eastAsia="方正仿宋简体" w:cs="方正仿宋简体"/>
          <w:b/>
          <w:bCs/>
          <w:color w:val="auto"/>
          <w:sz w:val="24"/>
          <w:szCs w:val="24"/>
          <w:highlight w:val="none"/>
        </w:rPr>
        <w:t>参</w:t>
      </w:r>
      <w:r>
        <w:rPr>
          <w:rFonts w:hint="eastAsia" w:ascii="方正仿宋简体" w:hAnsi="方正仿宋简体" w:eastAsia="方正仿宋简体" w:cs="方正仿宋简体"/>
          <w:b/>
          <w:bCs/>
          <w:color w:val="auto"/>
          <w:sz w:val="24"/>
          <w:szCs w:val="24"/>
          <w:highlight w:val="none"/>
          <w:lang w:val="en-US" w:eastAsia="zh-CN"/>
        </w:rPr>
        <w:t>加论证</w:t>
      </w:r>
      <w:r>
        <w:rPr>
          <w:rFonts w:hint="eastAsia" w:ascii="方正仿宋简体" w:hAnsi="方正仿宋简体" w:eastAsia="方正仿宋简体" w:cs="方正仿宋简体"/>
          <w:b/>
          <w:bCs/>
          <w:color w:val="auto"/>
          <w:sz w:val="24"/>
          <w:szCs w:val="24"/>
          <w:highlight w:val="none"/>
        </w:rPr>
        <w:t>的供应商</w:t>
      </w:r>
      <w:r>
        <w:rPr>
          <w:rFonts w:hint="eastAsia" w:ascii="方正仿宋简体" w:hAnsi="方正仿宋简体" w:eastAsia="方正仿宋简体" w:cs="方正仿宋简体"/>
          <w:b/>
          <w:bCs/>
          <w:color w:val="auto"/>
          <w:sz w:val="24"/>
          <w:szCs w:val="24"/>
          <w:highlight w:val="none"/>
          <w:lang w:eastAsia="zh-CN"/>
        </w:rPr>
        <w:t>需提交一套论证资料（正本</w:t>
      </w:r>
      <w:r>
        <w:rPr>
          <w:rFonts w:hint="eastAsia" w:ascii="方正仿宋简体" w:hAnsi="方正仿宋简体" w:eastAsia="方正仿宋简体" w:cs="方正仿宋简体"/>
          <w:b/>
          <w:bCs/>
          <w:color w:val="auto"/>
          <w:sz w:val="24"/>
          <w:szCs w:val="24"/>
          <w:highlight w:val="none"/>
          <w:lang w:val="en-US" w:eastAsia="zh-CN"/>
        </w:rPr>
        <w:t>1本，副本3本</w:t>
      </w:r>
      <w:r>
        <w:rPr>
          <w:rFonts w:hint="eastAsia" w:ascii="方正仿宋简体" w:hAnsi="方正仿宋简体" w:eastAsia="方正仿宋简体" w:cs="方正仿宋简体"/>
          <w:b/>
          <w:bCs/>
          <w:color w:val="auto"/>
          <w:sz w:val="24"/>
          <w:szCs w:val="24"/>
          <w:highlight w:val="none"/>
          <w:lang w:eastAsia="zh-CN"/>
        </w:rPr>
        <w:t>）。</w:t>
      </w:r>
      <w:r>
        <w:rPr>
          <w:rFonts w:hint="eastAsia" w:ascii="方正仿宋简体" w:hAnsi="方正仿宋简体" w:eastAsia="方正仿宋简体" w:cs="方正仿宋简体"/>
          <w:b/>
          <w:bCs/>
          <w:color w:val="auto"/>
          <w:sz w:val="24"/>
          <w:szCs w:val="24"/>
          <w:highlight w:val="none"/>
          <w:lang w:val="en-US" w:eastAsia="zh-CN"/>
        </w:rPr>
        <w:t>包里涉及多个产品，参与论证的供应商可投一个产品，也可投几个产品或者投全部产品。</w:t>
      </w:r>
    </w:p>
    <w:p w14:paraId="59AFF1C4">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方正仿宋简体" w:hAnsi="方正仿宋简体" w:eastAsia="方正仿宋简体" w:cs="方正仿宋简体"/>
          <w:b/>
          <w:bCs/>
          <w:color w:val="auto"/>
          <w:sz w:val="24"/>
          <w:szCs w:val="24"/>
          <w:highlight w:val="none"/>
          <w:lang w:val="en-US" w:eastAsia="zh-CN"/>
        </w:rPr>
      </w:pPr>
      <w:r>
        <w:rPr>
          <w:rFonts w:hint="eastAsia" w:ascii="方正仿宋简体" w:hAnsi="方正仿宋简体" w:eastAsia="方正仿宋简体" w:cs="方正仿宋简体"/>
          <w:b/>
          <w:bCs/>
          <w:color w:val="auto"/>
          <w:sz w:val="24"/>
          <w:szCs w:val="24"/>
          <w:highlight w:val="none"/>
          <w:lang w:val="en-US" w:eastAsia="zh-CN"/>
        </w:rPr>
        <w:t>九、联系人</w:t>
      </w:r>
    </w:p>
    <w:p w14:paraId="42467459">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default" w:ascii="方正仿宋_GBK" w:eastAsia="方正仿宋_GBK"/>
          <w:b/>
          <w:sz w:val="28"/>
          <w:szCs w:val="22"/>
          <w:lang w:val="en-US"/>
        </w:rPr>
      </w:pPr>
      <w:r>
        <w:rPr>
          <w:rFonts w:hint="eastAsia" w:ascii="方正仿宋简体" w:hAnsi="方正仿宋简体" w:eastAsia="方正仿宋简体" w:cs="方正仿宋简体"/>
          <w:b w:val="0"/>
          <w:bCs w:val="0"/>
          <w:color w:val="auto"/>
          <w:sz w:val="24"/>
          <w:szCs w:val="24"/>
          <w:lang w:val="en-US" w:eastAsia="zh-CN"/>
        </w:rPr>
        <w:t>江宁卫健委： 钱惠、史定金              联系电话：5119</w:t>
      </w:r>
      <w:bookmarkStart w:id="1" w:name="_Hlk107847795"/>
      <w:r>
        <w:rPr>
          <w:rFonts w:hint="eastAsia" w:ascii="方正仿宋简体" w:hAnsi="方正仿宋简体" w:eastAsia="方正仿宋简体" w:cs="方正仿宋简体"/>
          <w:b w:val="0"/>
          <w:bCs w:val="0"/>
          <w:color w:val="auto"/>
          <w:sz w:val="24"/>
          <w:szCs w:val="24"/>
          <w:lang w:val="en-US" w:eastAsia="zh-CN"/>
        </w:rPr>
        <w:t>1172</w:t>
      </w:r>
    </w:p>
    <w:p w14:paraId="52314DC5">
      <w:pPr>
        <w:pStyle w:val="25"/>
        <w:adjustRightInd w:val="0"/>
        <w:spacing w:before="160" w:after="160"/>
        <w:ind w:firstLine="0" w:firstLineChars="0"/>
        <w:contextualSpacing/>
        <w:rPr>
          <w:rFonts w:ascii="方正仿宋_GBK" w:eastAsia="方正仿宋_GBK"/>
          <w:b/>
          <w:sz w:val="28"/>
          <w:szCs w:val="22"/>
        </w:rPr>
      </w:pPr>
    </w:p>
    <w:p w14:paraId="4C667DDF">
      <w:pPr>
        <w:pStyle w:val="25"/>
        <w:adjustRightInd w:val="0"/>
        <w:spacing w:before="160" w:after="160"/>
        <w:ind w:firstLine="0" w:firstLineChars="0"/>
        <w:contextualSpacing/>
        <w:rPr>
          <w:rFonts w:ascii="方正仿宋_GBK" w:eastAsia="方正仿宋_GBK"/>
          <w:b/>
          <w:sz w:val="28"/>
          <w:szCs w:val="22"/>
        </w:rPr>
      </w:pPr>
    </w:p>
    <w:p w14:paraId="1D2DD72D">
      <w:pPr>
        <w:pStyle w:val="25"/>
        <w:adjustRightInd w:val="0"/>
        <w:spacing w:before="160" w:after="160"/>
        <w:ind w:firstLine="0" w:firstLineChars="0"/>
        <w:contextualSpacing/>
        <w:rPr>
          <w:rFonts w:ascii="方正仿宋_GBK" w:eastAsia="方正仿宋_GBK"/>
          <w:b/>
          <w:sz w:val="28"/>
          <w:szCs w:val="22"/>
        </w:rPr>
      </w:pPr>
    </w:p>
    <w:p w14:paraId="7FE84B5E">
      <w:pPr>
        <w:pStyle w:val="25"/>
        <w:adjustRightInd w:val="0"/>
        <w:spacing w:before="160" w:after="160"/>
        <w:ind w:firstLine="0" w:firstLineChars="0"/>
        <w:contextualSpacing/>
        <w:rPr>
          <w:rFonts w:ascii="方正仿宋_GBK" w:eastAsia="方正仿宋_GBK"/>
          <w:b/>
          <w:sz w:val="28"/>
          <w:szCs w:val="22"/>
        </w:rPr>
      </w:pPr>
    </w:p>
    <w:p w14:paraId="350090C8">
      <w:pPr>
        <w:pStyle w:val="25"/>
        <w:adjustRightInd w:val="0"/>
        <w:spacing w:before="160" w:after="160"/>
        <w:ind w:firstLine="0" w:firstLineChars="0"/>
        <w:contextualSpacing/>
        <w:rPr>
          <w:rFonts w:ascii="方正仿宋_GBK" w:eastAsia="方正仿宋_GBK"/>
          <w:b/>
          <w:sz w:val="28"/>
          <w:szCs w:val="22"/>
        </w:rPr>
      </w:pPr>
    </w:p>
    <w:p w14:paraId="60C58D44">
      <w:pPr>
        <w:pStyle w:val="25"/>
        <w:adjustRightInd w:val="0"/>
        <w:spacing w:before="160" w:after="160"/>
        <w:ind w:firstLine="0" w:firstLineChars="0"/>
        <w:contextualSpacing/>
        <w:rPr>
          <w:rFonts w:ascii="方正仿宋_GBK" w:eastAsia="方正仿宋_GBK"/>
          <w:b/>
          <w:sz w:val="28"/>
          <w:szCs w:val="22"/>
        </w:rPr>
      </w:pPr>
    </w:p>
    <w:p w14:paraId="5DC064C8">
      <w:pPr>
        <w:pStyle w:val="25"/>
        <w:adjustRightInd w:val="0"/>
        <w:spacing w:before="160" w:after="160"/>
        <w:ind w:firstLine="0" w:firstLineChars="0"/>
        <w:contextualSpacing/>
        <w:rPr>
          <w:rFonts w:ascii="方正仿宋_GBK" w:eastAsia="方正仿宋_GBK"/>
          <w:b/>
          <w:sz w:val="28"/>
          <w:szCs w:val="22"/>
        </w:rPr>
      </w:pPr>
    </w:p>
    <w:p w14:paraId="383B08F6">
      <w:pPr>
        <w:pStyle w:val="25"/>
        <w:adjustRightInd w:val="0"/>
        <w:spacing w:before="160" w:after="160"/>
        <w:ind w:firstLine="0" w:firstLineChars="0"/>
        <w:contextualSpacing/>
        <w:rPr>
          <w:rFonts w:ascii="方正仿宋_GBK" w:eastAsia="方正仿宋_GBK"/>
          <w:b/>
          <w:sz w:val="28"/>
          <w:szCs w:val="22"/>
        </w:rPr>
      </w:pPr>
    </w:p>
    <w:p w14:paraId="4CBD812D">
      <w:pPr>
        <w:pStyle w:val="25"/>
        <w:adjustRightInd w:val="0"/>
        <w:spacing w:before="160" w:after="160"/>
        <w:ind w:firstLine="0" w:firstLineChars="0"/>
        <w:contextualSpacing/>
        <w:rPr>
          <w:rFonts w:ascii="方正仿宋_GBK" w:eastAsia="方正仿宋_GBK"/>
          <w:b/>
          <w:sz w:val="28"/>
          <w:szCs w:val="22"/>
        </w:rPr>
      </w:pPr>
    </w:p>
    <w:p w14:paraId="7E8229D1">
      <w:pPr>
        <w:pStyle w:val="25"/>
        <w:adjustRightInd w:val="0"/>
        <w:spacing w:before="160" w:after="160"/>
        <w:ind w:firstLine="0" w:firstLineChars="0"/>
        <w:contextualSpacing/>
        <w:rPr>
          <w:rFonts w:ascii="方正仿宋_GBK" w:eastAsia="方正仿宋_GBK"/>
          <w:b/>
          <w:sz w:val="28"/>
          <w:szCs w:val="22"/>
        </w:rPr>
      </w:pPr>
    </w:p>
    <w:p w14:paraId="44F1A584">
      <w:pPr>
        <w:pStyle w:val="25"/>
        <w:adjustRightInd w:val="0"/>
        <w:spacing w:before="160" w:after="160"/>
        <w:ind w:firstLine="0" w:firstLineChars="0"/>
        <w:contextualSpacing/>
        <w:rPr>
          <w:rFonts w:ascii="方正仿宋_GBK" w:eastAsia="方正仿宋_GBK"/>
          <w:b/>
          <w:sz w:val="28"/>
          <w:szCs w:val="22"/>
        </w:rPr>
      </w:pPr>
    </w:p>
    <w:p w14:paraId="38A541A1">
      <w:pPr>
        <w:pStyle w:val="25"/>
        <w:adjustRightInd w:val="0"/>
        <w:spacing w:before="160" w:after="160"/>
        <w:ind w:firstLine="0" w:firstLineChars="0"/>
        <w:contextualSpacing/>
        <w:rPr>
          <w:rFonts w:ascii="方正仿宋_GBK" w:eastAsia="方正仿宋_GBK"/>
          <w:b/>
          <w:sz w:val="28"/>
          <w:szCs w:val="22"/>
        </w:rPr>
      </w:pPr>
    </w:p>
    <w:p w14:paraId="569ED617">
      <w:pPr>
        <w:pStyle w:val="25"/>
        <w:adjustRightInd w:val="0"/>
        <w:spacing w:before="160" w:after="160"/>
        <w:ind w:firstLine="0" w:firstLineChars="0"/>
        <w:contextualSpacing/>
        <w:rPr>
          <w:rFonts w:ascii="方正仿宋_GBK" w:eastAsia="方正仿宋_GBK"/>
          <w:b/>
          <w:sz w:val="28"/>
          <w:szCs w:val="22"/>
        </w:rPr>
      </w:pPr>
      <w:r>
        <w:rPr>
          <w:rFonts w:ascii="方正仿宋_GBK" w:eastAsia="方正仿宋_GBK"/>
          <w:b/>
          <w:sz w:val="28"/>
          <w:szCs w:val="22"/>
        </w:rPr>
        <w:t>附件</w:t>
      </w:r>
      <w:r>
        <w:rPr>
          <w:rFonts w:hint="eastAsia" w:ascii="方正仿宋_GBK" w:eastAsia="方正仿宋_GBK"/>
          <w:b/>
          <w:sz w:val="28"/>
          <w:szCs w:val="22"/>
        </w:rPr>
        <w:t>1</w:t>
      </w:r>
      <w:r>
        <w:rPr>
          <w:rFonts w:ascii="方正仿宋_GBK" w:eastAsia="方正仿宋_GBK"/>
          <w:b/>
          <w:sz w:val="28"/>
          <w:szCs w:val="22"/>
        </w:rPr>
        <w:t>：</w:t>
      </w:r>
    </w:p>
    <w:p w14:paraId="40467178">
      <w:pPr>
        <w:pStyle w:val="25"/>
        <w:adjustRightInd w:val="0"/>
        <w:spacing w:before="160" w:after="160"/>
        <w:ind w:firstLine="0" w:firstLineChars="0"/>
        <w:contextualSpacing/>
        <w:rPr>
          <w:rFonts w:ascii="方正仿宋_GBK" w:eastAsia="方正仿宋_GBK"/>
          <w:b/>
          <w:sz w:val="28"/>
          <w:szCs w:val="22"/>
        </w:rPr>
      </w:pPr>
    </w:p>
    <w:p w14:paraId="32000BD8">
      <w:pPr>
        <w:pStyle w:val="25"/>
        <w:adjustRightInd w:val="0"/>
        <w:spacing w:before="160" w:after="160"/>
        <w:ind w:firstLine="0" w:firstLineChars="0"/>
        <w:contextualSpacing/>
        <w:rPr>
          <w:rFonts w:ascii="方正仿宋_GBK" w:eastAsia="方正仿宋_GBK"/>
          <w:b/>
          <w:sz w:val="28"/>
          <w:szCs w:val="22"/>
        </w:rPr>
      </w:pPr>
    </w:p>
    <w:p w14:paraId="246B3459">
      <w:pPr>
        <w:spacing w:line="500" w:lineRule="exact"/>
        <w:ind w:firstLine="779"/>
        <w:jc w:val="center"/>
        <w:rPr>
          <w:rFonts w:hint="eastAsia" w:ascii="宋体" w:hAnsi="宋体" w:cs="宋体"/>
          <w:bCs/>
          <w:color w:val="auto"/>
          <w:sz w:val="40"/>
          <w:szCs w:val="40"/>
          <w:highlight w:val="none"/>
        </w:rPr>
      </w:pPr>
      <w:r>
        <w:rPr>
          <w:rFonts w:hint="eastAsia" w:ascii="宋体" w:hAnsi="宋体" w:cs="宋体"/>
          <w:bCs/>
          <w:color w:val="auto"/>
          <w:sz w:val="40"/>
          <w:szCs w:val="40"/>
          <w:highlight w:val="none"/>
        </w:rPr>
        <w:t>南京市政府采购供应商信用记录表</w:t>
      </w:r>
    </w:p>
    <w:p w14:paraId="4F611393">
      <w:pPr>
        <w:spacing w:line="500" w:lineRule="exact"/>
        <w:ind w:firstLine="779"/>
        <w:jc w:val="center"/>
        <w:rPr>
          <w:rFonts w:hint="eastAsia" w:ascii="宋体" w:hAnsi="宋体" w:cs="宋体"/>
          <w:color w:val="auto"/>
          <w:sz w:val="40"/>
          <w:szCs w:val="40"/>
          <w:highlight w:val="none"/>
        </w:rPr>
      </w:pPr>
      <w:r>
        <w:rPr>
          <w:rFonts w:hint="eastAsia" w:ascii="宋体" w:hAnsi="宋体" w:cs="宋体"/>
          <w:bCs/>
          <w:color w:val="auto"/>
          <w:sz w:val="40"/>
          <w:szCs w:val="40"/>
          <w:highlight w:val="none"/>
        </w:rPr>
        <w:t>暨信用承诺书（格式）</w:t>
      </w:r>
    </w:p>
    <w:p w14:paraId="37BBBFC8">
      <w:pPr>
        <w:spacing w:line="500" w:lineRule="exact"/>
        <w:ind w:firstLine="372"/>
        <w:jc w:val="center"/>
        <w:rPr>
          <w:rFonts w:hint="eastAsia" w:ascii="宋体" w:hAnsi="宋体" w:cs="宋体"/>
          <w:b/>
          <w:bCs/>
          <w:color w:val="auto"/>
          <w:sz w:val="20"/>
          <w:szCs w:val="22"/>
          <w:highlight w:val="none"/>
        </w:rPr>
      </w:pPr>
      <w:r>
        <w:rPr>
          <w:rFonts w:hint="eastAsia" w:ascii="宋体" w:hAnsi="宋体" w:cs="宋体"/>
          <w:bCs/>
          <w:color w:val="auto"/>
          <w:sz w:val="20"/>
          <w:szCs w:val="22"/>
          <w:highlight w:val="none"/>
          <w:lang w:val="en-US" w:eastAsia="zh-CN"/>
        </w:rPr>
        <w:t xml:space="preserve">                                      </w:t>
      </w:r>
      <w:r>
        <w:rPr>
          <w:rFonts w:hint="eastAsia" w:ascii="宋体" w:hAnsi="宋体" w:cs="宋体"/>
          <w:bCs/>
          <w:color w:val="auto"/>
          <w:sz w:val="20"/>
          <w:szCs w:val="22"/>
          <w:highlight w:val="none"/>
        </w:rPr>
        <w:t>年  月   日</w:t>
      </w:r>
    </w:p>
    <w:tbl>
      <w:tblPr>
        <w:tblStyle w:val="17"/>
        <w:tblW w:w="970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8"/>
        <w:gridCol w:w="3402"/>
        <w:gridCol w:w="2342"/>
        <w:gridCol w:w="2290"/>
      </w:tblGrid>
      <w:tr w14:paraId="77715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668" w:type="dxa"/>
            <w:vAlign w:val="top"/>
          </w:tcPr>
          <w:p w14:paraId="7563D7DD">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单位名称</w:t>
            </w:r>
          </w:p>
        </w:tc>
        <w:tc>
          <w:tcPr>
            <w:tcW w:w="3402" w:type="dxa"/>
            <w:vAlign w:val="top"/>
          </w:tcPr>
          <w:p w14:paraId="5A88057F">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c>
          <w:tcPr>
            <w:tcW w:w="2342" w:type="dxa"/>
            <w:vAlign w:val="top"/>
          </w:tcPr>
          <w:p w14:paraId="109D50DF">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统一社会信用代码</w:t>
            </w:r>
          </w:p>
        </w:tc>
        <w:tc>
          <w:tcPr>
            <w:tcW w:w="2290" w:type="dxa"/>
            <w:vAlign w:val="top"/>
          </w:tcPr>
          <w:p w14:paraId="21ECF768">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r>
      <w:tr w14:paraId="0C03C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668" w:type="dxa"/>
            <w:vAlign w:val="top"/>
          </w:tcPr>
          <w:p w14:paraId="7BCEADBB">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法定代表人</w:t>
            </w:r>
          </w:p>
        </w:tc>
        <w:tc>
          <w:tcPr>
            <w:tcW w:w="3402" w:type="dxa"/>
            <w:vAlign w:val="top"/>
          </w:tcPr>
          <w:p w14:paraId="4109C412">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c>
          <w:tcPr>
            <w:tcW w:w="2342" w:type="dxa"/>
            <w:vAlign w:val="top"/>
          </w:tcPr>
          <w:p w14:paraId="1F0F33F9">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联系人</w:t>
            </w:r>
          </w:p>
        </w:tc>
        <w:tc>
          <w:tcPr>
            <w:tcW w:w="2290" w:type="dxa"/>
            <w:vAlign w:val="top"/>
          </w:tcPr>
          <w:p w14:paraId="2A2B092E">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r>
      <w:tr w14:paraId="4BA8E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668" w:type="dxa"/>
            <w:vAlign w:val="top"/>
          </w:tcPr>
          <w:p w14:paraId="5F548FBD">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 xml:space="preserve">联系地址 </w:t>
            </w:r>
          </w:p>
        </w:tc>
        <w:tc>
          <w:tcPr>
            <w:tcW w:w="3402" w:type="dxa"/>
            <w:vAlign w:val="top"/>
          </w:tcPr>
          <w:p w14:paraId="082A77AB">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c>
          <w:tcPr>
            <w:tcW w:w="2342" w:type="dxa"/>
            <w:vAlign w:val="top"/>
          </w:tcPr>
          <w:p w14:paraId="50C6CAD6">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联系电话</w:t>
            </w:r>
          </w:p>
        </w:tc>
        <w:tc>
          <w:tcPr>
            <w:tcW w:w="2290" w:type="dxa"/>
            <w:vAlign w:val="top"/>
          </w:tcPr>
          <w:p w14:paraId="55FB4404">
            <w:pPr>
              <w:widowControl w:val="0"/>
              <w:spacing w:line="360" w:lineRule="auto"/>
              <w:ind w:firstLine="373"/>
              <w:jc w:val="left"/>
              <w:rPr>
                <w:rFonts w:hint="eastAsia" w:ascii="宋体" w:hAnsi="宋体" w:eastAsia="宋体" w:cs="宋体"/>
                <w:b/>
                <w:bCs/>
                <w:color w:val="auto"/>
                <w:sz w:val="20"/>
                <w:szCs w:val="22"/>
                <w:highlight w:val="none"/>
                <w:lang w:val="en-US" w:eastAsia="zh-CN" w:bidi="ar-SA"/>
              </w:rPr>
            </w:pPr>
          </w:p>
        </w:tc>
      </w:tr>
      <w:tr w14:paraId="36725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9" w:hRule="atLeast"/>
        </w:trPr>
        <w:tc>
          <w:tcPr>
            <w:tcW w:w="1668" w:type="dxa"/>
            <w:vAlign w:val="top"/>
          </w:tcPr>
          <w:p w14:paraId="1A05206F">
            <w:pPr>
              <w:widowControl w:val="0"/>
              <w:spacing w:line="360" w:lineRule="auto"/>
              <w:ind w:firstLine="372"/>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信用承诺</w:t>
            </w:r>
          </w:p>
        </w:tc>
        <w:tc>
          <w:tcPr>
            <w:tcW w:w="8034" w:type="dxa"/>
            <w:gridSpan w:val="3"/>
            <w:vAlign w:val="top"/>
          </w:tcPr>
          <w:p w14:paraId="5332D92D">
            <w:pPr>
              <w:widowControl w:val="0"/>
              <w:spacing w:line="360" w:lineRule="auto"/>
              <w:ind w:firstLine="420"/>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我公司自愿参加</w:t>
            </w:r>
            <w:r>
              <w:rPr>
                <w:rFonts w:hint="eastAsia" w:ascii="方正仿宋_GBK" w:eastAsia="方正仿宋_GBK"/>
                <w:sz w:val="20"/>
                <w:szCs w:val="20"/>
              </w:rPr>
              <w:t>贵</w:t>
            </w:r>
            <w:r>
              <w:rPr>
                <w:rFonts w:hint="eastAsia" w:ascii="方正仿宋_GBK" w:eastAsia="方正仿宋_GBK"/>
                <w:sz w:val="20"/>
                <w:szCs w:val="20"/>
                <w:lang w:eastAsia="zh-CN"/>
              </w:rPr>
              <w:t>单位</w:t>
            </w:r>
            <w:r>
              <w:rPr>
                <w:rFonts w:hint="eastAsia" w:ascii="宋体" w:hAnsi="宋体" w:eastAsia="宋体" w:cs="宋体"/>
                <w:bCs/>
                <w:color w:val="auto"/>
                <w:sz w:val="20"/>
                <w:szCs w:val="22"/>
                <w:highlight w:val="none"/>
                <w:lang w:val="en-US" w:eastAsia="zh-CN" w:bidi="ar-SA"/>
              </w:rPr>
              <w:t>组织的本次采购活动，严格遵守《中华人民共和国</w:t>
            </w:r>
            <w:r>
              <w:rPr>
                <w:rFonts w:hint="eastAsia" w:ascii="宋体" w:hAnsi="宋体" w:eastAsia="宋体" w:cs="宋体"/>
                <w:color w:val="auto"/>
                <w:sz w:val="20"/>
                <w:szCs w:val="22"/>
                <w:highlight w:val="none"/>
                <w:lang w:val="en-US" w:eastAsia="zh-CN" w:bidi="ar-SA"/>
              </w:rPr>
              <w:t>政府采购法</w:t>
            </w:r>
            <w:r>
              <w:rPr>
                <w:rFonts w:hint="eastAsia" w:ascii="宋体" w:hAnsi="宋体" w:eastAsia="宋体" w:cs="宋体"/>
                <w:bCs/>
                <w:color w:val="auto"/>
                <w:sz w:val="20"/>
                <w:szCs w:val="22"/>
                <w:highlight w:val="none"/>
                <w:lang w:val="en-US" w:eastAsia="zh-CN" w:bidi="ar-SA"/>
              </w:rPr>
              <w:t>》及相关法律法规，坚守公开、公平、公证、诚实信用的原则，已发诚信经营，无条件遵守本次政府采购活动的各项规定。</w:t>
            </w:r>
          </w:p>
          <w:p w14:paraId="77496A55">
            <w:pPr>
              <w:widowControl w:val="0"/>
              <w:spacing w:line="360" w:lineRule="auto"/>
              <w:ind w:firstLine="420"/>
              <w:jc w:val="left"/>
              <w:rPr>
                <w:rFonts w:hint="eastAsia" w:ascii="宋体" w:hAnsi="宋体" w:eastAsia="宋体" w:cs="宋体"/>
                <w:b/>
                <w:bCs/>
                <w:color w:val="auto"/>
                <w:sz w:val="20"/>
                <w:szCs w:val="22"/>
                <w:highlight w:val="none"/>
                <w:lang w:val="en-US" w:eastAsia="zh-CN" w:bidi="ar-SA"/>
              </w:rPr>
            </w:pPr>
            <w:r>
              <w:rPr>
                <w:rFonts w:hint="eastAsia" w:ascii="宋体" w:hAnsi="宋体" w:eastAsia="宋体" w:cs="宋体"/>
                <w:bCs/>
                <w:color w:val="auto"/>
                <w:sz w:val="20"/>
                <w:szCs w:val="22"/>
                <w:highlight w:val="none"/>
                <w:lang w:val="en-US" w:eastAsia="zh-CN" w:bidi="ar-SA"/>
              </w:rPr>
              <w:t>我们郑重承诺，本公司符合《政府采购法》第二十二条规定的条件，包括：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未被列入失信被执行人、重大税收违法失信主体、政府采购严重违法失信行为记录名单；符合法律、行政法规和采购文件规定的其他条件。如有弄虚作假或其他违法违规行为，愿承担一切法律责任，接受各级政府采购监督部门和有权机关的的审查和处罚。</w:t>
            </w:r>
          </w:p>
          <w:p w14:paraId="735C9004">
            <w:pPr>
              <w:widowControl w:val="0"/>
              <w:spacing w:line="360" w:lineRule="auto"/>
              <w:ind w:firstLine="372"/>
              <w:jc w:val="center"/>
              <w:rPr>
                <w:rFonts w:hint="eastAsia" w:ascii="宋体" w:hAnsi="宋体" w:eastAsia="宋体" w:cs="宋体"/>
                <w:b/>
                <w:bCs/>
                <w:color w:val="auto"/>
                <w:sz w:val="20"/>
                <w:szCs w:val="22"/>
                <w:highlight w:val="none"/>
                <w:lang w:val="en-US" w:eastAsia="zh-CN" w:bidi="ar-SA"/>
              </w:rPr>
            </w:pPr>
            <w:r>
              <w:rPr>
                <w:rFonts w:hint="eastAsia" w:ascii="宋体" w:hAnsi="宋体" w:cs="宋体"/>
                <w:bCs/>
                <w:color w:val="auto"/>
                <w:sz w:val="20"/>
                <w:szCs w:val="22"/>
                <w:highlight w:val="none"/>
                <w:lang w:val="en-US" w:eastAsia="zh-CN" w:bidi="ar-SA"/>
              </w:rPr>
              <w:t xml:space="preserve">      </w:t>
            </w:r>
            <w:r>
              <w:rPr>
                <w:rFonts w:hint="eastAsia" w:ascii="宋体" w:hAnsi="宋体" w:eastAsia="宋体" w:cs="宋体"/>
                <w:bCs/>
                <w:color w:val="auto"/>
                <w:sz w:val="20"/>
                <w:szCs w:val="22"/>
                <w:highlight w:val="none"/>
                <w:lang w:val="en-US" w:eastAsia="zh-CN" w:bidi="ar-SA"/>
              </w:rPr>
              <w:t>供应商名称（盖章）：</w:t>
            </w:r>
          </w:p>
          <w:p w14:paraId="011CF00F">
            <w:pPr>
              <w:widowControl w:val="0"/>
              <w:spacing w:line="360" w:lineRule="auto"/>
              <w:ind w:firstLine="372"/>
              <w:jc w:val="center"/>
              <w:rPr>
                <w:rFonts w:hint="eastAsia" w:ascii="宋体" w:hAnsi="宋体" w:eastAsia="宋体" w:cs="宋体"/>
                <w:b/>
                <w:bCs/>
                <w:color w:val="auto"/>
                <w:sz w:val="20"/>
                <w:szCs w:val="22"/>
                <w:highlight w:val="none"/>
                <w:lang w:val="en-US" w:eastAsia="zh-CN" w:bidi="ar-SA"/>
              </w:rPr>
            </w:pPr>
            <w:r>
              <w:rPr>
                <w:rFonts w:hint="eastAsia" w:ascii="宋体" w:hAnsi="宋体" w:cs="宋体"/>
                <w:bCs/>
                <w:color w:val="auto"/>
                <w:sz w:val="20"/>
                <w:szCs w:val="22"/>
                <w:highlight w:val="none"/>
                <w:lang w:val="en-US" w:eastAsia="zh-CN" w:bidi="ar-SA"/>
              </w:rPr>
              <w:t xml:space="preserve">      </w:t>
            </w:r>
            <w:r>
              <w:rPr>
                <w:rFonts w:hint="eastAsia" w:ascii="宋体" w:hAnsi="宋体" w:eastAsia="宋体" w:cs="宋体"/>
                <w:bCs/>
                <w:color w:val="auto"/>
                <w:sz w:val="20"/>
                <w:szCs w:val="22"/>
                <w:highlight w:val="none"/>
                <w:lang w:val="en-US" w:eastAsia="zh-CN" w:bidi="ar-SA"/>
              </w:rPr>
              <w:t>法定代表人（签字）：</w:t>
            </w:r>
          </w:p>
          <w:p w14:paraId="672CD907">
            <w:pPr>
              <w:widowControl w:val="0"/>
              <w:spacing w:line="360" w:lineRule="auto"/>
              <w:ind w:firstLine="372"/>
              <w:jc w:val="center"/>
              <w:rPr>
                <w:rFonts w:hint="eastAsia" w:ascii="宋体" w:hAnsi="宋体" w:eastAsia="宋体" w:cs="宋体"/>
                <w:b/>
                <w:bCs/>
                <w:color w:val="auto"/>
                <w:sz w:val="20"/>
                <w:szCs w:val="22"/>
                <w:highlight w:val="none"/>
                <w:lang w:val="en-US" w:eastAsia="zh-CN" w:bidi="ar-SA"/>
              </w:rPr>
            </w:pPr>
            <w:r>
              <w:rPr>
                <w:rFonts w:hint="eastAsia" w:ascii="宋体" w:hAnsi="宋体" w:cs="宋体"/>
                <w:bCs/>
                <w:color w:val="auto"/>
                <w:sz w:val="20"/>
                <w:szCs w:val="22"/>
                <w:highlight w:val="none"/>
                <w:lang w:val="en-US" w:eastAsia="zh-CN" w:bidi="ar-SA"/>
              </w:rPr>
              <w:t xml:space="preserve">        </w:t>
            </w:r>
            <w:r>
              <w:rPr>
                <w:rFonts w:hint="eastAsia" w:ascii="宋体" w:hAnsi="宋体" w:eastAsia="宋体" w:cs="宋体"/>
                <w:bCs/>
                <w:color w:val="auto"/>
                <w:sz w:val="20"/>
                <w:szCs w:val="22"/>
                <w:highlight w:val="none"/>
                <w:lang w:val="en-US" w:eastAsia="zh-CN" w:bidi="ar-SA"/>
              </w:rPr>
              <w:t>年    月     日</w:t>
            </w:r>
          </w:p>
        </w:tc>
      </w:tr>
    </w:tbl>
    <w:p w14:paraId="102527C0">
      <w:pPr>
        <w:pStyle w:val="25"/>
        <w:adjustRightInd w:val="0"/>
        <w:spacing w:before="160" w:after="160"/>
        <w:ind w:firstLine="0" w:firstLineChars="0"/>
        <w:contextualSpacing/>
        <w:rPr>
          <w:rFonts w:ascii="方正仿宋_GBK" w:eastAsia="方正仿宋_GBK"/>
          <w:b/>
          <w:sz w:val="28"/>
          <w:szCs w:val="22"/>
        </w:rPr>
      </w:pPr>
    </w:p>
    <w:p w14:paraId="3169E933">
      <w:pPr>
        <w:pStyle w:val="25"/>
        <w:adjustRightInd w:val="0"/>
        <w:spacing w:before="160" w:after="160"/>
        <w:ind w:firstLine="0" w:firstLineChars="0"/>
        <w:contextualSpacing/>
        <w:rPr>
          <w:rFonts w:ascii="方正仿宋_GBK" w:eastAsia="方正仿宋_GBK"/>
          <w:b/>
          <w:sz w:val="28"/>
          <w:szCs w:val="22"/>
        </w:rPr>
      </w:pPr>
    </w:p>
    <w:p w14:paraId="1B682C12">
      <w:pPr>
        <w:pStyle w:val="25"/>
        <w:adjustRightInd w:val="0"/>
        <w:spacing w:before="160" w:after="160"/>
        <w:ind w:firstLine="0" w:firstLineChars="0"/>
        <w:contextualSpacing/>
        <w:rPr>
          <w:rFonts w:ascii="方正仿宋_GBK" w:eastAsia="方正仿宋_GBK"/>
          <w:b/>
          <w:sz w:val="28"/>
          <w:szCs w:val="22"/>
        </w:rPr>
      </w:pPr>
    </w:p>
    <w:bookmarkEnd w:id="1"/>
    <w:p w14:paraId="752A7A02">
      <w:pPr>
        <w:widowControl/>
        <w:jc w:val="left"/>
        <w:rPr>
          <w:rFonts w:hint="eastAsia" w:ascii="方正仿宋_GBK" w:eastAsia="方正仿宋_GBK"/>
          <w:b/>
          <w:sz w:val="28"/>
          <w:szCs w:val="22"/>
        </w:rPr>
      </w:pPr>
    </w:p>
    <w:p w14:paraId="006F2286">
      <w:pPr>
        <w:widowControl/>
        <w:jc w:val="left"/>
        <w:rPr>
          <w:rFonts w:hint="eastAsia" w:ascii="方正仿宋_GBK" w:eastAsia="方正仿宋_GBK"/>
          <w:b/>
          <w:sz w:val="28"/>
          <w:szCs w:val="22"/>
        </w:rPr>
      </w:pPr>
    </w:p>
    <w:p w14:paraId="5CEBACDE">
      <w:pPr>
        <w:widowControl/>
        <w:jc w:val="left"/>
        <w:rPr>
          <w:rFonts w:ascii="方正仿宋_GBK" w:eastAsia="方正仿宋_GBK"/>
          <w:b/>
          <w:sz w:val="28"/>
          <w:szCs w:val="22"/>
        </w:rPr>
      </w:pPr>
      <w:r>
        <w:rPr>
          <w:rFonts w:hint="eastAsia" w:ascii="方正仿宋_GBK" w:eastAsia="方正仿宋_GBK"/>
          <w:b/>
          <w:sz w:val="28"/>
          <w:szCs w:val="22"/>
        </w:rPr>
        <w:t>附件2：</w:t>
      </w:r>
    </w:p>
    <w:p w14:paraId="101DFD2C">
      <w:pPr>
        <w:pStyle w:val="15"/>
        <w:rPr>
          <w:sz w:val="28"/>
          <w:szCs w:val="20"/>
        </w:rPr>
      </w:pPr>
      <w:r>
        <w:rPr>
          <w:rFonts w:hint="eastAsia"/>
          <w:sz w:val="28"/>
          <w:szCs w:val="28"/>
        </w:rPr>
        <w:t>医疗设备场地安装条件需求</w:t>
      </w:r>
    </w:p>
    <w:tbl>
      <w:tblPr>
        <w:tblStyle w:val="18"/>
        <w:tblW w:w="9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885"/>
        <w:gridCol w:w="975"/>
        <w:gridCol w:w="1497"/>
        <w:gridCol w:w="1209"/>
        <w:gridCol w:w="906"/>
        <w:gridCol w:w="807"/>
        <w:gridCol w:w="1053"/>
        <w:gridCol w:w="1509"/>
      </w:tblGrid>
      <w:tr w14:paraId="3391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1" w:type="dxa"/>
            <w:tcBorders>
              <w:top w:val="single" w:color="auto" w:sz="4" w:space="0"/>
              <w:left w:val="single" w:color="auto" w:sz="4" w:space="0"/>
              <w:bottom w:val="single" w:color="auto" w:sz="4" w:space="0"/>
              <w:right w:val="single" w:color="auto" w:sz="4" w:space="0"/>
            </w:tcBorders>
            <w:vAlign w:val="center"/>
          </w:tcPr>
          <w:p w14:paraId="757E003B">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设备名称</w:t>
            </w:r>
          </w:p>
        </w:tc>
        <w:tc>
          <w:tcPr>
            <w:tcW w:w="885" w:type="dxa"/>
            <w:tcBorders>
              <w:top w:val="single" w:color="auto" w:sz="4" w:space="0"/>
              <w:left w:val="single" w:color="auto" w:sz="4" w:space="0"/>
              <w:bottom w:val="single" w:color="auto" w:sz="4" w:space="0"/>
              <w:right w:val="single" w:color="auto" w:sz="4" w:space="0"/>
            </w:tcBorders>
            <w:vAlign w:val="center"/>
          </w:tcPr>
          <w:p w14:paraId="7E81E1AF">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品牌</w:t>
            </w:r>
          </w:p>
        </w:tc>
        <w:tc>
          <w:tcPr>
            <w:tcW w:w="975" w:type="dxa"/>
            <w:tcBorders>
              <w:top w:val="single" w:color="auto" w:sz="4" w:space="0"/>
              <w:left w:val="single" w:color="auto" w:sz="4" w:space="0"/>
              <w:bottom w:val="single" w:color="auto" w:sz="4" w:space="0"/>
              <w:right w:val="single" w:color="auto" w:sz="4" w:space="0"/>
            </w:tcBorders>
            <w:vAlign w:val="center"/>
          </w:tcPr>
          <w:p w14:paraId="08697790">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型号</w:t>
            </w:r>
          </w:p>
        </w:tc>
        <w:tc>
          <w:tcPr>
            <w:tcW w:w="1497" w:type="dxa"/>
            <w:tcBorders>
              <w:top w:val="single" w:color="auto" w:sz="4" w:space="0"/>
              <w:left w:val="single" w:color="auto" w:sz="4" w:space="0"/>
              <w:bottom w:val="single" w:color="auto" w:sz="4" w:space="0"/>
              <w:right w:val="single" w:color="auto" w:sz="4" w:space="0"/>
            </w:tcBorders>
            <w:vAlign w:val="center"/>
          </w:tcPr>
          <w:p w14:paraId="28327054">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空间要求（宽*深*高mm）</w:t>
            </w:r>
          </w:p>
        </w:tc>
        <w:tc>
          <w:tcPr>
            <w:tcW w:w="1209" w:type="dxa"/>
            <w:tcBorders>
              <w:top w:val="single" w:color="auto" w:sz="4" w:space="0"/>
              <w:left w:val="single" w:color="auto" w:sz="4" w:space="0"/>
              <w:bottom w:val="single" w:color="auto" w:sz="4" w:space="0"/>
              <w:right w:val="single" w:color="auto" w:sz="4" w:space="0"/>
            </w:tcBorders>
            <w:vAlign w:val="center"/>
          </w:tcPr>
          <w:p w14:paraId="1480AD2E">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自身重量（kg）</w:t>
            </w:r>
          </w:p>
        </w:tc>
        <w:tc>
          <w:tcPr>
            <w:tcW w:w="906" w:type="dxa"/>
            <w:tcBorders>
              <w:top w:val="single" w:color="auto" w:sz="4" w:space="0"/>
              <w:left w:val="single" w:color="auto" w:sz="4" w:space="0"/>
              <w:bottom w:val="single" w:color="auto" w:sz="4" w:space="0"/>
              <w:right w:val="single" w:color="auto" w:sz="4" w:space="0"/>
            </w:tcBorders>
            <w:vAlign w:val="center"/>
          </w:tcPr>
          <w:p w14:paraId="3D3A6E43">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供电要求</w:t>
            </w:r>
          </w:p>
        </w:tc>
        <w:tc>
          <w:tcPr>
            <w:tcW w:w="807" w:type="dxa"/>
            <w:tcBorders>
              <w:top w:val="single" w:color="auto" w:sz="4" w:space="0"/>
              <w:left w:val="single" w:color="auto" w:sz="4" w:space="0"/>
              <w:bottom w:val="single" w:color="auto" w:sz="4" w:space="0"/>
              <w:right w:val="single" w:color="auto" w:sz="4" w:space="0"/>
            </w:tcBorders>
            <w:vAlign w:val="center"/>
          </w:tcPr>
          <w:p w14:paraId="200E8943">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供水要求</w:t>
            </w:r>
          </w:p>
        </w:tc>
        <w:tc>
          <w:tcPr>
            <w:tcW w:w="1053" w:type="dxa"/>
            <w:tcBorders>
              <w:top w:val="single" w:color="auto" w:sz="4" w:space="0"/>
              <w:left w:val="single" w:color="auto" w:sz="4" w:space="0"/>
              <w:bottom w:val="single" w:color="auto" w:sz="4" w:space="0"/>
              <w:right w:val="single" w:color="auto" w:sz="4" w:space="0"/>
            </w:tcBorders>
            <w:vAlign w:val="center"/>
          </w:tcPr>
          <w:p w14:paraId="7721F954">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环境要求</w:t>
            </w:r>
          </w:p>
        </w:tc>
        <w:tc>
          <w:tcPr>
            <w:tcW w:w="1509" w:type="dxa"/>
            <w:tcBorders>
              <w:top w:val="single" w:color="auto" w:sz="4" w:space="0"/>
              <w:left w:val="single" w:color="auto" w:sz="4" w:space="0"/>
              <w:bottom w:val="single" w:color="auto" w:sz="4" w:space="0"/>
              <w:right w:val="single" w:color="auto" w:sz="4" w:space="0"/>
            </w:tcBorders>
            <w:vAlign w:val="center"/>
          </w:tcPr>
          <w:p w14:paraId="7A93E917">
            <w:pPr>
              <w:widowControl/>
              <w:adjustRightInd w:val="0"/>
              <w:spacing w:before="160" w:after="160"/>
              <w:contextualSpacing/>
              <w:jc w:val="center"/>
              <w:rPr>
                <w:rFonts w:hint="eastAsia" w:ascii="宋体" w:hAnsi="宋体" w:eastAsia="宋体" w:cs="宋体"/>
                <w:b/>
                <w:bCs/>
                <w:color w:val="000000"/>
                <w:kern w:val="0"/>
                <w:sz w:val="20"/>
                <w:szCs w:val="20"/>
              </w:rPr>
            </w:pPr>
            <w:r>
              <w:rPr>
                <w:rFonts w:hint="eastAsia" w:ascii="宋体" w:hAnsi="宋体" w:eastAsia="宋体" w:cs="宋体"/>
                <w:b/>
                <w:bCs/>
                <w:color w:val="000000"/>
                <w:kern w:val="0"/>
                <w:sz w:val="20"/>
                <w:szCs w:val="20"/>
              </w:rPr>
              <w:t>运输要求</w:t>
            </w:r>
          </w:p>
        </w:tc>
      </w:tr>
      <w:tr w14:paraId="5E79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323E1CF2">
            <w:pPr>
              <w:widowControl/>
              <w:adjustRightInd w:val="0"/>
              <w:spacing w:before="160" w:after="160"/>
              <w:contextualSpacing/>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885" w:type="dxa"/>
            <w:tcBorders>
              <w:top w:val="single" w:color="auto" w:sz="4" w:space="0"/>
              <w:left w:val="single" w:color="auto" w:sz="4" w:space="0"/>
              <w:bottom w:val="single" w:color="auto" w:sz="4" w:space="0"/>
              <w:right w:val="single" w:color="auto" w:sz="4" w:space="0"/>
            </w:tcBorders>
            <w:vAlign w:val="center"/>
          </w:tcPr>
          <w:p w14:paraId="53ACE3B8">
            <w:pPr>
              <w:widowControl/>
              <w:adjustRightInd w:val="0"/>
              <w:spacing w:before="160" w:after="160"/>
              <w:contextualSpacing/>
              <w:rPr>
                <w:rFonts w:hint="eastAsia" w:ascii="宋体" w:hAnsi="宋体" w:eastAsia="宋体" w:cs="宋体"/>
                <w:color w:val="000000"/>
                <w:kern w:val="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14:paraId="106CBB3E">
            <w:pPr>
              <w:widowControl/>
              <w:adjustRightInd w:val="0"/>
              <w:spacing w:before="160" w:after="160"/>
              <w:contextualSpacing/>
              <w:rPr>
                <w:rFonts w:hint="eastAsia" w:ascii="宋体" w:hAnsi="宋体" w:eastAsia="宋体" w:cs="宋体"/>
                <w:color w:val="000000"/>
                <w:kern w:val="0"/>
                <w:sz w:val="20"/>
                <w:szCs w:val="20"/>
              </w:rPr>
            </w:pPr>
          </w:p>
        </w:tc>
        <w:tc>
          <w:tcPr>
            <w:tcW w:w="1497" w:type="dxa"/>
            <w:tcBorders>
              <w:top w:val="single" w:color="auto" w:sz="4" w:space="0"/>
              <w:left w:val="single" w:color="auto" w:sz="4" w:space="0"/>
              <w:bottom w:val="single" w:color="auto" w:sz="4" w:space="0"/>
              <w:right w:val="single" w:color="auto" w:sz="4" w:space="0"/>
            </w:tcBorders>
            <w:vAlign w:val="center"/>
          </w:tcPr>
          <w:p w14:paraId="641C53C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09" w:type="dxa"/>
            <w:tcBorders>
              <w:top w:val="single" w:color="auto" w:sz="4" w:space="0"/>
              <w:left w:val="single" w:color="auto" w:sz="4" w:space="0"/>
              <w:bottom w:val="single" w:color="auto" w:sz="4" w:space="0"/>
              <w:right w:val="single" w:color="auto" w:sz="4" w:space="0"/>
            </w:tcBorders>
            <w:vAlign w:val="center"/>
          </w:tcPr>
          <w:p w14:paraId="0D81FBF8">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06" w:type="dxa"/>
            <w:tcBorders>
              <w:top w:val="single" w:color="auto" w:sz="4" w:space="0"/>
              <w:left w:val="single" w:color="auto" w:sz="4" w:space="0"/>
              <w:bottom w:val="single" w:color="auto" w:sz="4" w:space="0"/>
              <w:right w:val="single" w:color="auto" w:sz="4" w:space="0"/>
            </w:tcBorders>
            <w:vAlign w:val="center"/>
          </w:tcPr>
          <w:p w14:paraId="0B585372">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807" w:type="dxa"/>
            <w:tcBorders>
              <w:top w:val="single" w:color="auto" w:sz="4" w:space="0"/>
              <w:left w:val="single" w:color="auto" w:sz="4" w:space="0"/>
              <w:bottom w:val="single" w:color="auto" w:sz="4" w:space="0"/>
              <w:right w:val="single" w:color="auto" w:sz="4" w:space="0"/>
            </w:tcBorders>
            <w:vAlign w:val="center"/>
          </w:tcPr>
          <w:p w14:paraId="34F24097">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53" w:type="dxa"/>
            <w:tcBorders>
              <w:top w:val="single" w:color="auto" w:sz="4" w:space="0"/>
              <w:left w:val="single" w:color="auto" w:sz="4" w:space="0"/>
              <w:bottom w:val="single" w:color="auto" w:sz="4" w:space="0"/>
              <w:right w:val="single" w:color="auto" w:sz="4" w:space="0"/>
            </w:tcBorders>
            <w:vAlign w:val="center"/>
          </w:tcPr>
          <w:p w14:paraId="0DF4009A">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509" w:type="dxa"/>
            <w:tcBorders>
              <w:top w:val="single" w:color="auto" w:sz="4" w:space="0"/>
              <w:left w:val="single" w:color="auto" w:sz="4" w:space="0"/>
              <w:bottom w:val="single" w:color="auto" w:sz="4" w:space="0"/>
              <w:right w:val="single" w:color="auto" w:sz="4" w:space="0"/>
            </w:tcBorders>
            <w:vAlign w:val="center"/>
          </w:tcPr>
          <w:p w14:paraId="11FA550A">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2E0D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0024AF6C">
            <w:pPr>
              <w:widowControl/>
              <w:adjustRightInd w:val="0"/>
              <w:spacing w:before="160" w:after="160"/>
              <w:contextualSpacing/>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885" w:type="dxa"/>
            <w:tcBorders>
              <w:top w:val="single" w:color="auto" w:sz="4" w:space="0"/>
              <w:left w:val="single" w:color="auto" w:sz="4" w:space="0"/>
              <w:bottom w:val="single" w:color="auto" w:sz="4" w:space="0"/>
              <w:right w:val="single" w:color="auto" w:sz="4" w:space="0"/>
            </w:tcBorders>
            <w:vAlign w:val="center"/>
          </w:tcPr>
          <w:p w14:paraId="730B893B">
            <w:pPr>
              <w:widowControl/>
              <w:adjustRightInd w:val="0"/>
              <w:spacing w:before="160" w:after="160"/>
              <w:contextualSpacing/>
              <w:rPr>
                <w:rFonts w:hint="eastAsia" w:ascii="宋体" w:hAnsi="宋体" w:eastAsia="宋体" w:cs="宋体"/>
                <w:color w:val="000000"/>
                <w:kern w:val="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14:paraId="31686278">
            <w:pPr>
              <w:widowControl/>
              <w:adjustRightInd w:val="0"/>
              <w:spacing w:before="160" w:after="160"/>
              <w:contextualSpacing/>
              <w:rPr>
                <w:rFonts w:hint="eastAsia" w:ascii="宋体" w:hAnsi="宋体" w:eastAsia="宋体" w:cs="宋体"/>
                <w:color w:val="000000"/>
                <w:kern w:val="0"/>
                <w:sz w:val="20"/>
                <w:szCs w:val="20"/>
              </w:rPr>
            </w:pPr>
          </w:p>
        </w:tc>
        <w:tc>
          <w:tcPr>
            <w:tcW w:w="1497" w:type="dxa"/>
            <w:tcBorders>
              <w:top w:val="single" w:color="auto" w:sz="4" w:space="0"/>
              <w:left w:val="single" w:color="auto" w:sz="4" w:space="0"/>
              <w:bottom w:val="single" w:color="auto" w:sz="4" w:space="0"/>
              <w:right w:val="single" w:color="auto" w:sz="4" w:space="0"/>
            </w:tcBorders>
            <w:vAlign w:val="center"/>
          </w:tcPr>
          <w:p w14:paraId="0D4AF52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09" w:type="dxa"/>
            <w:tcBorders>
              <w:top w:val="single" w:color="auto" w:sz="4" w:space="0"/>
              <w:left w:val="single" w:color="auto" w:sz="4" w:space="0"/>
              <w:bottom w:val="single" w:color="auto" w:sz="4" w:space="0"/>
              <w:right w:val="single" w:color="auto" w:sz="4" w:space="0"/>
            </w:tcBorders>
            <w:vAlign w:val="center"/>
          </w:tcPr>
          <w:p w14:paraId="2A7EE394">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06" w:type="dxa"/>
            <w:tcBorders>
              <w:top w:val="single" w:color="auto" w:sz="4" w:space="0"/>
              <w:left w:val="single" w:color="auto" w:sz="4" w:space="0"/>
              <w:bottom w:val="single" w:color="auto" w:sz="4" w:space="0"/>
              <w:right w:val="single" w:color="auto" w:sz="4" w:space="0"/>
            </w:tcBorders>
            <w:vAlign w:val="center"/>
          </w:tcPr>
          <w:p w14:paraId="45775AD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807" w:type="dxa"/>
            <w:tcBorders>
              <w:top w:val="single" w:color="auto" w:sz="4" w:space="0"/>
              <w:left w:val="single" w:color="auto" w:sz="4" w:space="0"/>
              <w:bottom w:val="single" w:color="auto" w:sz="4" w:space="0"/>
              <w:right w:val="single" w:color="auto" w:sz="4" w:space="0"/>
            </w:tcBorders>
            <w:vAlign w:val="center"/>
          </w:tcPr>
          <w:p w14:paraId="4886929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53" w:type="dxa"/>
            <w:tcBorders>
              <w:top w:val="single" w:color="auto" w:sz="4" w:space="0"/>
              <w:left w:val="single" w:color="auto" w:sz="4" w:space="0"/>
              <w:bottom w:val="single" w:color="auto" w:sz="4" w:space="0"/>
              <w:right w:val="single" w:color="auto" w:sz="4" w:space="0"/>
            </w:tcBorders>
            <w:vAlign w:val="center"/>
          </w:tcPr>
          <w:p w14:paraId="6753FF8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509" w:type="dxa"/>
            <w:tcBorders>
              <w:top w:val="single" w:color="auto" w:sz="4" w:space="0"/>
              <w:left w:val="single" w:color="auto" w:sz="4" w:space="0"/>
              <w:bottom w:val="single" w:color="auto" w:sz="4" w:space="0"/>
              <w:right w:val="single" w:color="auto" w:sz="4" w:space="0"/>
            </w:tcBorders>
            <w:vAlign w:val="center"/>
          </w:tcPr>
          <w:p w14:paraId="558D968E">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45D8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41B4E658">
            <w:pPr>
              <w:widowControl/>
              <w:adjustRightInd w:val="0"/>
              <w:spacing w:before="160" w:after="160"/>
              <w:contextualSpacing/>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885" w:type="dxa"/>
            <w:tcBorders>
              <w:top w:val="single" w:color="auto" w:sz="4" w:space="0"/>
              <w:left w:val="single" w:color="auto" w:sz="4" w:space="0"/>
              <w:bottom w:val="single" w:color="auto" w:sz="4" w:space="0"/>
              <w:right w:val="single" w:color="auto" w:sz="4" w:space="0"/>
            </w:tcBorders>
            <w:vAlign w:val="center"/>
          </w:tcPr>
          <w:p w14:paraId="74EB0635">
            <w:pPr>
              <w:widowControl/>
              <w:adjustRightInd w:val="0"/>
              <w:spacing w:before="160" w:after="160"/>
              <w:contextualSpacing/>
              <w:rPr>
                <w:rFonts w:hint="eastAsia" w:ascii="宋体" w:hAnsi="宋体" w:eastAsia="宋体" w:cs="宋体"/>
                <w:color w:val="000000"/>
                <w:kern w:val="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14:paraId="3B00224F">
            <w:pPr>
              <w:widowControl/>
              <w:adjustRightInd w:val="0"/>
              <w:spacing w:before="160" w:after="160"/>
              <w:contextualSpacing/>
              <w:rPr>
                <w:rFonts w:hint="eastAsia" w:ascii="宋体" w:hAnsi="宋体" w:eastAsia="宋体" w:cs="宋体"/>
                <w:color w:val="000000"/>
                <w:kern w:val="0"/>
                <w:sz w:val="20"/>
                <w:szCs w:val="20"/>
              </w:rPr>
            </w:pPr>
          </w:p>
        </w:tc>
        <w:tc>
          <w:tcPr>
            <w:tcW w:w="1497" w:type="dxa"/>
            <w:tcBorders>
              <w:top w:val="single" w:color="auto" w:sz="4" w:space="0"/>
              <w:left w:val="single" w:color="auto" w:sz="4" w:space="0"/>
              <w:bottom w:val="single" w:color="auto" w:sz="4" w:space="0"/>
              <w:right w:val="single" w:color="auto" w:sz="4" w:space="0"/>
            </w:tcBorders>
            <w:vAlign w:val="center"/>
          </w:tcPr>
          <w:p w14:paraId="49B49832">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09" w:type="dxa"/>
            <w:tcBorders>
              <w:top w:val="single" w:color="auto" w:sz="4" w:space="0"/>
              <w:left w:val="single" w:color="auto" w:sz="4" w:space="0"/>
              <w:bottom w:val="single" w:color="auto" w:sz="4" w:space="0"/>
              <w:right w:val="single" w:color="auto" w:sz="4" w:space="0"/>
            </w:tcBorders>
            <w:vAlign w:val="center"/>
          </w:tcPr>
          <w:p w14:paraId="7D66AD15">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06" w:type="dxa"/>
            <w:tcBorders>
              <w:top w:val="single" w:color="auto" w:sz="4" w:space="0"/>
              <w:left w:val="single" w:color="auto" w:sz="4" w:space="0"/>
              <w:bottom w:val="single" w:color="auto" w:sz="4" w:space="0"/>
              <w:right w:val="single" w:color="auto" w:sz="4" w:space="0"/>
            </w:tcBorders>
            <w:vAlign w:val="center"/>
          </w:tcPr>
          <w:p w14:paraId="710EC29E">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807" w:type="dxa"/>
            <w:tcBorders>
              <w:top w:val="single" w:color="auto" w:sz="4" w:space="0"/>
              <w:left w:val="single" w:color="auto" w:sz="4" w:space="0"/>
              <w:bottom w:val="single" w:color="auto" w:sz="4" w:space="0"/>
              <w:right w:val="single" w:color="auto" w:sz="4" w:space="0"/>
            </w:tcBorders>
            <w:vAlign w:val="center"/>
          </w:tcPr>
          <w:p w14:paraId="28DDFE4E">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53" w:type="dxa"/>
            <w:tcBorders>
              <w:top w:val="single" w:color="auto" w:sz="4" w:space="0"/>
              <w:left w:val="single" w:color="auto" w:sz="4" w:space="0"/>
              <w:bottom w:val="single" w:color="auto" w:sz="4" w:space="0"/>
              <w:right w:val="single" w:color="auto" w:sz="4" w:space="0"/>
            </w:tcBorders>
            <w:vAlign w:val="center"/>
          </w:tcPr>
          <w:p w14:paraId="6D3B026D">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509" w:type="dxa"/>
            <w:tcBorders>
              <w:top w:val="single" w:color="auto" w:sz="4" w:space="0"/>
              <w:left w:val="single" w:color="auto" w:sz="4" w:space="0"/>
              <w:bottom w:val="single" w:color="auto" w:sz="4" w:space="0"/>
              <w:right w:val="single" w:color="auto" w:sz="4" w:space="0"/>
            </w:tcBorders>
            <w:vAlign w:val="center"/>
          </w:tcPr>
          <w:p w14:paraId="306792E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r w14:paraId="0E73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68922587">
            <w:pPr>
              <w:widowControl/>
              <w:adjustRightInd w:val="0"/>
              <w:spacing w:before="160" w:after="160"/>
              <w:contextualSpacing/>
              <w:rPr>
                <w:rFonts w:hint="eastAsia" w:ascii="宋体" w:hAnsi="宋体" w:eastAsia="宋体" w:cs="宋体"/>
                <w:kern w:val="0"/>
                <w:sz w:val="20"/>
                <w:szCs w:val="20"/>
              </w:rPr>
            </w:pPr>
            <w:r>
              <w:rPr>
                <w:rFonts w:hint="eastAsia" w:ascii="宋体" w:hAnsi="宋体" w:eastAsia="宋体" w:cs="宋体"/>
                <w:kern w:val="0"/>
                <w:sz w:val="20"/>
                <w:szCs w:val="20"/>
              </w:rPr>
              <w:t>　</w:t>
            </w:r>
          </w:p>
        </w:tc>
        <w:tc>
          <w:tcPr>
            <w:tcW w:w="885" w:type="dxa"/>
            <w:tcBorders>
              <w:top w:val="single" w:color="auto" w:sz="4" w:space="0"/>
              <w:left w:val="single" w:color="auto" w:sz="4" w:space="0"/>
              <w:bottom w:val="single" w:color="auto" w:sz="4" w:space="0"/>
              <w:right w:val="single" w:color="auto" w:sz="4" w:space="0"/>
            </w:tcBorders>
            <w:vAlign w:val="center"/>
          </w:tcPr>
          <w:p w14:paraId="2D487198">
            <w:pPr>
              <w:widowControl/>
              <w:adjustRightInd w:val="0"/>
              <w:spacing w:before="160" w:after="160"/>
              <w:contextualSpacing/>
              <w:rPr>
                <w:rFonts w:hint="eastAsia" w:ascii="宋体" w:hAnsi="宋体" w:eastAsia="宋体" w:cs="宋体"/>
                <w:color w:val="000000"/>
                <w:kern w:val="0"/>
                <w:sz w:val="20"/>
                <w:szCs w:val="20"/>
              </w:rPr>
            </w:pPr>
          </w:p>
        </w:tc>
        <w:tc>
          <w:tcPr>
            <w:tcW w:w="975" w:type="dxa"/>
            <w:tcBorders>
              <w:top w:val="single" w:color="auto" w:sz="4" w:space="0"/>
              <w:left w:val="single" w:color="auto" w:sz="4" w:space="0"/>
              <w:bottom w:val="single" w:color="auto" w:sz="4" w:space="0"/>
              <w:right w:val="single" w:color="auto" w:sz="4" w:space="0"/>
            </w:tcBorders>
            <w:vAlign w:val="center"/>
          </w:tcPr>
          <w:p w14:paraId="00025675">
            <w:pPr>
              <w:widowControl/>
              <w:adjustRightInd w:val="0"/>
              <w:spacing w:before="160" w:after="160"/>
              <w:contextualSpacing/>
              <w:rPr>
                <w:rFonts w:hint="eastAsia" w:ascii="宋体" w:hAnsi="宋体" w:eastAsia="宋体" w:cs="宋体"/>
                <w:color w:val="000000"/>
                <w:kern w:val="0"/>
                <w:sz w:val="20"/>
                <w:szCs w:val="20"/>
              </w:rPr>
            </w:pPr>
          </w:p>
        </w:tc>
        <w:tc>
          <w:tcPr>
            <w:tcW w:w="1497" w:type="dxa"/>
            <w:tcBorders>
              <w:top w:val="single" w:color="auto" w:sz="4" w:space="0"/>
              <w:left w:val="single" w:color="auto" w:sz="4" w:space="0"/>
              <w:bottom w:val="single" w:color="auto" w:sz="4" w:space="0"/>
              <w:right w:val="single" w:color="auto" w:sz="4" w:space="0"/>
            </w:tcBorders>
            <w:vAlign w:val="center"/>
          </w:tcPr>
          <w:p w14:paraId="5DABB76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209" w:type="dxa"/>
            <w:tcBorders>
              <w:top w:val="single" w:color="auto" w:sz="4" w:space="0"/>
              <w:left w:val="single" w:color="auto" w:sz="4" w:space="0"/>
              <w:bottom w:val="single" w:color="auto" w:sz="4" w:space="0"/>
              <w:right w:val="single" w:color="auto" w:sz="4" w:space="0"/>
            </w:tcBorders>
            <w:vAlign w:val="center"/>
          </w:tcPr>
          <w:p w14:paraId="4A72A88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906" w:type="dxa"/>
            <w:tcBorders>
              <w:top w:val="single" w:color="auto" w:sz="4" w:space="0"/>
              <w:left w:val="single" w:color="auto" w:sz="4" w:space="0"/>
              <w:bottom w:val="single" w:color="auto" w:sz="4" w:space="0"/>
              <w:right w:val="single" w:color="auto" w:sz="4" w:space="0"/>
            </w:tcBorders>
            <w:vAlign w:val="center"/>
          </w:tcPr>
          <w:p w14:paraId="61C1591E">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807" w:type="dxa"/>
            <w:tcBorders>
              <w:top w:val="single" w:color="auto" w:sz="4" w:space="0"/>
              <w:left w:val="single" w:color="auto" w:sz="4" w:space="0"/>
              <w:bottom w:val="single" w:color="auto" w:sz="4" w:space="0"/>
              <w:right w:val="single" w:color="auto" w:sz="4" w:space="0"/>
            </w:tcBorders>
            <w:vAlign w:val="center"/>
          </w:tcPr>
          <w:p w14:paraId="61C92A91">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053" w:type="dxa"/>
            <w:tcBorders>
              <w:top w:val="single" w:color="auto" w:sz="4" w:space="0"/>
              <w:left w:val="single" w:color="auto" w:sz="4" w:space="0"/>
              <w:bottom w:val="single" w:color="auto" w:sz="4" w:space="0"/>
              <w:right w:val="single" w:color="auto" w:sz="4" w:space="0"/>
            </w:tcBorders>
            <w:vAlign w:val="center"/>
          </w:tcPr>
          <w:p w14:paraId="5BF00A3B">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509" w:type="dxa"/>
            <w:tcBorders>
              <w:top w:val="single" w:color="auto" w:sz="4" w:space="0"/>
              <w:left w:val="single" w:color="auto" w:sz="4" w:space="0"/>
              <w:bottom w:val="single" w:color="auto" w:sz="4" w:space="0"/>
              <w:right w:val="single" w:color="auto" w:sz="4" w:space="0"/>
            </w:tcBorders>
            <w:vAlign w:val="center"/>
          </w:tcPr>
          <w:p w14:paraId="2D318C4A">
            <w:pPr>
              <w:widowControl/>
              <w:adjustRightInd w:val="0"/>
              <w:spacing w:before="160" w:after="160"/>
              <w:contextualSpacing/>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bl>
    <w:p w14:paraId="16F7BE23">
      <w:pPr>
        <w:widowControl/>
        <w:jc w:val="left"/>
        <w:rPr>
          <w:rFonts w:hint="eastAsia" w:ascii="宋体" w:hAnsi="宋体" w:eastAsia="宋体"/>
          <w:b/>
          <w:sz w:val="20"/>
          <w:szCs w:val="20"/>
        </w:rPr>
        <w:sectPr>
          <w:footerReference r:id="rId3" w:type="default"/>
          <w:pgSz w:w="11906" w:h="16838"/>
          <w:pgMar w:top="935" w:right="991" w:bottom="850" w:left="993" w:header="851" w:footer="992" w:gutter="0"/>
          <w:cols w:space="0" w:num="1"/>
          <w:rtlGutter w:val="0"/>
          <w:docGrid w:type="lines" w:linePitch="312" w:charSpace="0"/>
        </w:sectPr>
      </w:pPr>
    </w:p>
    <w:p w14:paraId="1BF63B8E">
      <w:pPr>
        <w:pStyle w:val="25"/>
        <w:adjustRightInd w:val="0"/>
        <w:spacing w:before="160" w:after="160"/>
        <w:ind w:firstLine="0" w:firstLineChars="0"/>
        <w:contextualSpacing/>
        <w:rPr>
          <w:rFonts w:hint="eastAsia" w:ascii="方正仿宋_GBK" w:eastAsia="方正仿宋_GBK"/>
          <w:b/>
          <w:sz w:val="28"/>
          <w:szCs w:val="22"/>
        </w:rPr>
      </w:pPr>
      <w:bookmarkStart w:id="2" w:name="_Hlk204097970"/>
      <w:r>
        <w:rPr>
          <w:rFonts w:hint="eastAsia" w:ascii="方正仿宋_GBK" w:eastAsia="方正仿宋_GBK"/>
          <w:b/>
          <w:sz w:val="28"/>
          <w:szCs w:val="22"/>
        </w:rPr>
        <w:t>附件3：</w:t>
      </w:r>
    </w:p>
    <w:p w14:paraId="493CC8B8">
      <w:pPr>
        <w:pStyle w:val="25"/>
        <w:adjustRightInd w:val="0"/>
        <w:spacing w:before="160" w:after="160"/>
        <w:ind w:firstLine="0" w:firstLineChars="0"/>
        <w:contextualSpacing/>
        <w:jc w:val="center"/>
        <w:rPr>
          <w:rFonts w:ascii="方正仿宋_GBK" w:eastAsia="方正仿宋_GBK"/>
          <w:b/>
          <w:sz w:val="28"/>
          <w:szCs w:val="22"/>
        </w:rPr>
      </w:pPr>
      <w:r>
        <w:rPr>
          <w:rFonts w:hint="eastAsia" w:ascii="方正仿宋_GBK" w:eastAsia="方正仿宋_GBK"/>
          <w:b/>
          <w:sz w:val="28"/>
          <w:szCs w:val="22"/>
        </w:rPr>
        <w:t>售后服务条款</w:t>
      </w:r>
    </w:p>
    <w:p w14:paraId="5B337C2A">
      <w:pPr>
        <w:adjustRightInd w:val="0"/>
        <w:spacing w:before="160" w:after="160"/>
        <w:ind w:left="142" w:firstLine="201" w:firstLineChars="100"/>
        <w:contextualSpacing/>
        <w:jc w:val="left"/>
        <w:rPr>
          <w:rFonts w:hint="eastAsia" w:ascii="宋体" w:hAnsi="宋体" w:eastAsia="宋体"/>
          <w:b/>
          <w:sz w:val="20"/>
          <w:szCs w:val="20"/>
        </w:rPr>
      </w:pPr>
    </w:p>
    <w:p w14:paraId="48B8AA62">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设备供应商免费提前为医院提供设备安装图纸，并充分协助医院做好机房的准备工作（如必要的话）。</w:t>
      </w:r>
    </w:p>
    <w:p w14:paraId="02B7CA58">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设备供应商负责设备的免费安装和调试，必须事先与医院联系，并与医院共同参与，否则引起的一切责任由设备供应商承担。</w:t>
      </w:r>
    </w:p>
    <w:p w14:paraId="73CB707D">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所有医疗设备必须提供符合国家标准的电源线，插头制式必须为中国标准制式，保证安全接地，不接受欧标、美标等制式电源线，设备生产时间不能超过壹年。</w:t>
      </w:r>
    </w:p>
    <w:p w14:paraId="5F79A9B2">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设备供应商逾期交付货物的，每逾期一天，设备供应商向医院偿付货款总额5‰的滞纳金，如设备供应商逾期交货达10天，医院有权解除合同或双方协商赔偿方式。</w:t>
      </w:r>
    </w:p>
    <w:p w14:paraId="5D811297">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装机所产生的垃圾必须摆放整齐，不得有影响工作人员、病人及家属安全通过的行为。设备供应商在装机后24小时内必须完成对包装拆除物的清理。因包装拆除物原因引起的医疗事故和纠纷，由设备供应商承担全部法律和经济责任。</w:t>
      </w:r>
    </w:p>
    <w:p w14:paraId="2D231F3E">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安装、调试结束后，医院对设备试用后进行验收（时间由甲、乙双方商定），设备供应商免费派工程师到达现场协助验收工作。保修期自医院验收合格之日算起，保修期外故障待修复后只收配件费，免收上门费、人工费。</w:t>
      </w:r>
    </w:p>
    <w:p w14:paraId="75D505A5">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上述设备免费保修</w:t>
      </w:r>
      <w:r>
        <w:rPr>
          <w:rFonts w:hint="eastAsia" w:ascii="宋体" w:hAnsi="宋体" w:eastAsia="宋体"/>
          <w:sz w:val="21"/>
          <w:szCs w:val="20"/>
          <w:u w:val="single"/>
        </w:rPr>
        <w:t>此处请填写完整</w:t>
      </w:r>
      <w:r>
        <w:rPr>
          <w:rFonts w:hint="eastAsia" w:ascii="宋体" w:hAnsi="宋体" w:eastAsia="宋体"/>
          <w:sz w:val="21"/>
          <w:szCs w:val="20"/>
        </w:rPr>
        <w:t>年，保修范围包括合同中所有配置。并确保设备保修期内开机率≥95%，如设备故障停机率超过5%（一年按365天计算，每年18天），每超过一天，保修期延长两周。保修期外设备供应商对本设备终身负责维修。</w:t>
      </w:r>
    </w:p>
    <w:p w14:paraId="7620D58B">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如设备发生故障，设备供应商在接到医院报修电话后1小时之内响应，3小时内到达医院现场（若无维修站点，24小时内到达现场），48小时内修复或免费提供备用机，否则医院可自行采取必要的措施，由此产生的风险和费用由设备供应商承担。如有特殊情况，设备供应商应立即电话通知医院不能响应的原因，在获得医院同意后，才可推迟响应时间。</w:t>
      </w:r>
    </w:p>
    <w:p w14:paraId="32A2DA3F">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保修期内每年</w:t>
      </w:r>
      <w:r>
        <w:rPr>
          <w:rFonts w:hint="eastAsia" w:ascii="宋体" w:hAnsi="宋体" w:eastAsia="宋体"/>
          <w:sz w:val="21"/>
          <w:szCs w:val="20"/>
          <w:u w:val="single"/>
        </w:rPr>
        <w:t>肆</w:t>
      </w:r>
      <w:r>
        <w:rPr>
          <w:rFonts w:hint="eastAsia" w:ascii="宋体" w:hAnsi="宋体" w:eastAsia="宋体"/>
          <w:sz w:val="21"/>
          <w:szCs w:val="20"/>
        </w:rPr>
        <w:t>次定期维护。</w:t>
      </w:r>
    </w:p>
    <w:p w14:paraId="6CD7A7DD">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无论在保修期内还是保修期外，设备供应商必须上门维修，设备供应商工程师至医院维修本设备，必须事先与医院取得联系，并做相应登记；在维修过程中与医院工程师共同完成维修工作。否则引起的一切责任由设备供应商负责。</w:t>
      </w:r>
    </w:p>
    <w:p w14:paraId="45D622FA">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如设备软件升级，设备供应商负责免费软件升级，保证软件为最新、最高版本。</w:t>
      </w:r>
    </w:p>
    <w:p w14:paraId="471778F9">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如有设备具有远程维修诊断功能，设备供应商负责免费为医院安装。</w:t>
      </w:r>
    </w:p>
    <w:p w14:paraId="38D61A32">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设备供应商免费提供全套资料，含产品合格证（国产设备）、出厂计量合格证（强检设备）、操作手册、维修手册（含详细电路图）、海关报关单（进口设备）、商检合格证明（进口设备），如技术资料不全，医院有权不支付货款。</w:t>
      </w:r>
    </w:p>
    <w:p w14:paraId="09D4D6F1">
      <w:pPr>
        <w:pStyle w:val="25"/>
        <w:numPr>
          <w:ilvl w:val="1"/>
          <w:numId w:val="15"/>
        </w:numPr>
        <w:adjustRightInd w:val="0"/>
        <w:spacing w:before="160" w:after="160"/>
        <w:ind w:left="426" w:hanging="426" w:firstLineChars="0"/>
        <w:contextualSpacing/>
        <w:rPr>
          <w:rFonts w:hint="eastAsia" w:ascii="宋体" w:hAnsi="宋体" w:eastAsia="宋体"/>
          <w:sz w:val="21"/>
          <w:szCs w:val="20"/>
        </w:rPr>
      </w:pPr>
      <w:r>
        <w:rPr>
          <w:rFonts w:hint="eastAsia" w:ascii="宋体" w:hAnsi="宋体" w:eastAsia="宋体"/>
          <w:sz w:val="21"/>
          <w:szCs w:val="20"/>
        </w:rPr>
        <w:t>技术培训：在安装过程中或安装结束后，设备供应商工程师或有关人员有义务对医院工程师和操作人员进行现场维修、保养、操作培训并提供快捷操作指南（过塑封好，挂在设备上），解答医院人员提出的问题。必要时提供正规培训班培训，确保操作人员掌握完成日常工作所需的基本操作方法为止，工程师掌握基本的维护保养操作技术为止。详见设备供应商公司承诺书。</w:t>
      </w:r>
    </w:p>
    <w:p w14:paraId="44D97F26">
      <w:pPr>
        <w:pStyle w:val="25"/>
        <w:numPr>
          <w:ilvl w:val="1"/>
          <w:numId w:val="15"/>
        </w:numPr>
        <w:adjustRightInd w:val="0"/>
        <w:spacing w:before="160" w:after="160"/>
        <w:ind w:left="426" w:hanging="426" w:firstLineChars="0"/>
        <w:contextualSpacing/>
        <w:rPr>
          <w:rFonts w:hint="eastAsia" w:ascii="宋体" w:hAnsi="宋体" w:eastAsia="宋体"/>
          <w:b/>
          <w:sz w:val="21"/>
          <w:szCs w:val="20"/>
        </w:rPr>
      </w:pPr>
      <w:r>
        <w:rPr>
          <w:rFonts w:hint="eastAsia" w:ascii="宋体" w:hAnsi="宋体" w:eastAsia="宋体"/>
          <w:sz w:val="21"/>
          <w:szCs w:val="20"/>
        </w:rPr>
        <w:t>如设备供应商提供的设备设有维修软件密码，设备供应商保证无条件地为医院永久免费打开。</w:t>
      </w:r>
      <w:bookmarkEnd w:id="2"/>
      <w:r>
        <w:rPr>
          <w:rFonts w:hint="eastAsia" w:ascii="宋体" w:hAnsi="宋体" w:eastAsia="宋体"/>
          <w:b/>
          <w:sz w:val="21"/>
          <w:szCs w:val="20"/>
        </w:rPr>
        <w:br w:type="page"/>
      </w:r>
    </w:p>
    <w:p w14:paraId="4529C6DA">
      <w:pPr>
        <w:pStyle w:val="25"/>
        <w:keepNext w:val="0"/>
        <w:keepLines w:val="0"/>
        <w:pageBreakBefore w:val="0"/>
        <w:widowControl w:val="0"/>
        <w:kinsoku/>
        <w:wordWrap/>
        <w:overflowPunct/>
        <w:topLinePunct w:val="0"/>
        <w:autoSpaceDE/>
        <w:autoSpaceDN/>
        <w:bidi w:val="0"/>
        <w:adjustRightInd w:val="0"/>
        <w:snapToGrid/>
        <w:spacing w:before="160" w:after="160" w:line="560" w:lineRule="exact"/>
        <w:ind w:firstLine="0" w:firstLineChars="0"/>
        <w:contextualSpacing/>
        <w:textAlignment w:val="auto"/>
        <w:outlineLvl w:val="9"/>
        <w:rPr>
          <w:rFonts w:hint="eastAsia" w:ascii="宋体" w:hAnsi="宋体" w:eastAsia="宋体"/>
          <w:b/>
          <w:sz w:val="28"/>
          <w:szCs w:val="28"/>
        </w:rPr>
      </w:pPr>
      <w:r>
        <w:rPr>
          <w:rFonts w:hint="eastAsia" w:ascii="宋体" w:hAnsi="宋体" w:eastAsia="宋体"/>
          <w:b/>
          <w:sz w:val="28"/>
          <w:szCs w:val="28"/>
        </w:rPr>
        <w:t>附件4：</w:t>
      </w:r>
    </w:p>
    <w:p w14:paraId="4C48A578">
      <w:pPr>
        <w:pStyle w:val="25"/>
        <w:keepNext w:val="0"/>
        <w:keepLines w:val="0"/>
        <w:pageBreakBefore w:val="0"/>
        <w:widowControl w:val="0"/>
        <w:kinsoku/>
        <w:wordWrap/>
        <w:overflowPunct/>
        <w:topLinePunct w:val="0"/>
        <w:autoSpaceDE/>
        <w:autoSpaceDN/>
        <w:bidi w:val="0"/>
        <w:adjustRightInd w:val="0"/>
        <w:snapToGrid/>
        <w:spacing w:before="160" w:after="160" w:line="560" w:lineRule="exact"/>
        <w:ind w:firstLine="0" w:firstLineChars="0"/>
        <w:contextualSpacing/>
        <w:jc w:val="center"/>
        <w:textAlignment w:val="auto"/>
        <w:outlineLvl w:val="9"/>
        <w:rPr>
          <w:rFonts w:hint="eastAsia" w:ascii="宋体" w:hAnsi="宋体" w:eastAsia="宋体"/>
          <w:b/>
          <w:sz w:val="32"/>
          <w:szCs w:val="32"/>
        </w:rPr>
      </w:pPr>
      <w:r>
        <w:rPr>
          <w:rFonts w:hint="eastAsia" w:ascii="宋体" w:hAnsi="宋体" w:eastAsia="宋体"/>
          <w:b/>
          <w:sz w:val="32"/>
          <w:szCs w:val="32"/>
          <w:lang w:eastAsia="zh-CN"/>
        </w:rPr>
        <w:t>论证比选</w:t>
      </w:r>
      <w:r>
        <w:rPr>
          <w:rFonts w:hint="eastAsia" w:ascii="宋体" w:hAnsi="宋体" w:eastAsia="宋体"/>
          <w:b/>
          <w:sz w:val="32"/>
          <w:szCs w:val="32"/>
        </w:rPr>
        <w:t>、调研材料真实性及购销廉洁声明</w:t>
      </w:r>
    </w:p>
    <w:p w14:paraId="194A9943">
      <w:pPr>
        <w:pStyle w:val="25"/>
        <w:keepNext w:val="0"/>
        <w:keepLines w:val="0"/>
        <w:pageBreakBefore w:val="0"/>
        <w:widowControl w:val="0"/>
        <w:kinsoku/>
        <w:wordWrap/>
        <w:overflowPunct/>
        <w:topLinePunct w:val="0"/>
        <w:autoSpaceDE/>
        <w:autoSpaceDN/>
        <w:bidi w:val="0"/>
        <w:adjustRightInd w:val="0"/>
        <w:snapToGrid/>
        <w:spacing w:before="160" w:after="160" w:line="560" w:lineRule="exact"/>
        <w:ind w:firstLine="0" w:firstLineChars="0"/>
        <w:contextualSpacing/>
        <w:jc w:val="center"/>
        <w:textAlignment w:val="auto"/>
        <w:outlineLvl w:val="9"/>
        <w:rPr>
          <w:rFonts w:hint="eastAsia" w:ascii="宋体" w:hAnsi="宋体" w:eastAsia="宋体"/>
          <w:b/>
          <w:sz w:val="32"/>
          <w:szCs w:val="32"/>
        </w:rPr>
      </w:pPr>
      <w:r>
        <w:rPr>
          <w:rFonts w:hint="eastAsia" w:ascii="宋体" w:hAnsi="宋体" w:eastAsia="宋体"/>
          <w:b/>
          <w:sz w:val="32"/>
          <w:szCs w:val="32"/>
        </w:rPr>
        <w:t>承诺书</w:t>
      </w:r>
    </w:p>
    <w:p w14:paraId="62C20A1C">
      <w:pPr>
        <w:pStyle w:val="25"/>
        <w:adjustRightInd w:val="0"/>
        <w:spacing w:before="160" w:after="160"/>
        <w:ind w:firstLine="0" w:firstLineChars="0"/>
        <w:contextualSpacing/>
        <w:rPr>
          <w:rFonts w:hint="eastAsia" w:ascii="宋体" w:hAnsi="宋体" w:eastAsia="宋体"/>
          <w:sz w:val="21"/>
          <w:szCs w:val="20"/>
        </w:rPr>
      </w:pPr>
      <w:r>
        <w:rPr>
          <w:rFonts w:hint="eastAsia" w:ascii="宋体" w:hAnsi="宋体" w:eastAsia="宋体"/>
          <w:sz w:val="21"/>
          <w:szCs w:val="20"/>
          <w:lang w:eastAsia="zh-CN"/>
        </w:rPr>
        <w:t>江宁区卫健委</w:t>
      </w:r>
      <w:r>
        <w:rPr>
          <w:rFonts w:hint="eastAsia" w:ascii="宋体" w:hAnsi="宋体" w:eastAsia="宋体"/>
          <w:sz w:val="21"/>
          <w:szCs w:val="20"/>
        </w:rPr>
        <w:t>：</w:t>
      </w:r>
    </w:p>
    <w:p w14:paraId="28436082">
      <w:pPr>
        <w:pStyle w:val="25"/>
        <w:adjustRightInd w:val="0"/>
        <w:spacing w:before="160" w:after="160"/>
        <w:ind w:firstLine="420" w:firstLineChars="200"/>
        <w:contextualSpacing/>
        <w:rPr>
          <w:rFonts w:hint="eastAsia" w:ascii="宋体" w:hAnsi="宋体" w:eastAsia="宋体"/>
          <w:sz w:val="21"/>
          <w:szCs w:val="20"/>
        </w:rPr>
      </w:pPr>
      <w:r>
        <w:rPr>
          <w:rFonts w:hint="eastAsia" w:ascii="宋体" w:hAnsi="宋体" w:eastAsia="宋体"/>
          <w:sz w:val="21"/>
          <w:szCs w:val="20"/>
        </w:rPr>
        <w:t>针对贵</w:t>
      </w:r>
      <w:r>
        <w:rPr>
          <w:rFonts w:hint="eastAsia" w:ascii="宋体" w:hAnsi="宋体" w:eastAsia="宋体"/>
          <w:sz w:val="21"/>
          <w:szCs w:val="20"/>
          <w:lang w:eastAsia="zh-CN"/>
        </w:rPr>
        <w:t>单位</w:t>
      </w:r>
      <w:r>
        <w:rPr>
          <w:rFonts w:hint="eastAsia" w:ascii="宋体" w:hAnsi="宋体" w:eastAsia="宋体"/>
          <w:sz w:val="21"/>
          <w:szCs w:val="20"/>
        </w:rPr>
        <w:t>此次比选、调研，我公司郑重承诺：所提供资料（以骑缝章为准）真实有效，无任何虚假成分。如有虚假，由此产生的一切后果由本公司承担。</w:t>
      </w:r>
    </w:p>
    <w:p w14:paraId="7061A6DB">
      <w:pPr>
        <w:pStyle w:val="25"/>
        <w:adjustRightInd w:val="0"/>
        <w:spacing w:before="160" w:after="160"/>
        <w:ind w:firstLine="420" w:firstLineChars="200"/>
        <w:contextualSpacing/>
        <w:rPr>
          <w:rFonts w:hint="eastAsia" w:ascii="宋体" w:hAnsi="宋体" w:eastAsia="宋体"/>
          <w:sz w:val="21"/>
          <w:szCs w:val="20"/>
        </w:rPr>
      </w:pPr>
      <w:r>
        <w:rPr>
          <w:rFonts w:hint="eastAsia" w:ascii="宋体" w:hAnsi="宋体" w:eastAsia="宋体"/>
          <w:sz w:val="21"/>
          <w:szCs w:val="20"/>
        </w:rPr>
        <w:t>为进一步加强医疗卫生行风建设，规范医疗卫生机构医药销售行为，有效防范商业贿赂行为，营造公平交易、诚实守信的购销环境，我公司郑重承诺并遵守：</w:t>
      </w:r>
    </w:p>
    <w:p w14:paraId="174F7D5A">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一、我方按照《民法典》及本承诺购销医疗设备。</w:t>
      </w:r>
    </w:p>
    <w:p w14:paraId="73A2EF5A">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二、我方不以回扣、宴请等方式影响医院工作人员采购或使用产品的选择权，不在学术活动中提供旅游、超标准支付食宿等费用。</w:t>
      </w:r>
    </w:p>
    <w:p w14:paraId="7365D3BB">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三、我方指定销售代表承诺在工作时间到医院指定地点联系商谈，不到住院部、门诊部、医技科室等推销产品，不借故到医院相关领导、部门负责人及相关工作人员家中访谈并提供任何好处费等。</w:t>
      </w:r>
    </w:p>
    <w:p w14:paraId="34F34A9B">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四、我方如违反本承诺，一经发现，</w:t>
      </w:r>
      <w:r>
        <w:rPr>
          <w:rFonts w:hint="eastAsia" w:ascii="宋体" w:hAnsi="宋体"/>
          <w:sz w:val="21"/>
          <w:szCs w:val="20"/>
          <w:lang w:eastAsia="zh-CN"/>
        </w:rPr>
        <w:t>采购人</w:t>
      </w:r>
      <w:r>
        <w:rPr>
          <w:rFonts w:hint="eastAsia" w:ascii="宋体" w:hAnsi="宋体" w:eastAsia="宋体"/>
          <w:sz w:val="21"/>
          <w:szCs w:val="20"/>
        </w:rPr>
        <w:t>有权终止购销合同。如我方被列入商业贿赂不良记录，则严格按照《国家卫生计生委关于建立医药购销领域商业贿赂不良记录的规定》（国卫法制发[2013]50号）相关规定处理。</w:t>
      </w:r>
    </w:p>
    <w:p w14:paraId="15845E87">
      <w:pPr>
        <w:pStyle w:val="25"/>
        <w:adjustRightInd w:val="0"/>
        <w:spacing w:before="160" w:after="160"/>
        <w:contextualSpacing/>
        <w:rPr>
          <w:rFonts w:hint="eastAsia" w:ascii="宋体" w:hAnsi="宋体" w:eastAsia="宋体"/>
          <w:sz w:val="21"/>
          <w:szCs w:val="20"/>
        </w:rPr>
      </w:pPr>
      <w:r>
        <w:rPr>
          <w:rFonts w:hint="eastAsia" w:ascii="宋体" w:hAnsi="宋体" w:eastAsia="宋体"/>
          <w:sz w:val="21"/>
          <w:szCs w:val="20"/>
        </w:rPr>
        <w:t>五、本承诺作为产品购销合同的重要组成部分，与购销合同一并执行，具有同等法律效力。</w:t>
      </w:r>
    </w:p>
    <w:p w14:paraId="750AAC06">
      <w:pPr>
        <w:pStyle w:val="25"/>
        <w:adjustRightInd w:val="0"/>
        <w:spacing w:before="160" w:after="160"/>
        <w:ind w:firstLine="0" w:firstLineChars="0"/>
        <w:contextualSpacing/>
        <w:rPr>
          <w:rFonts w:hint="eastAsia" w:ascii="宋体" w:hAnsi="宋体" w:eastAsia="宋体"/>
          <w:sz w:val="21"/>
          <w:szCs w:val="20"/>
        </w:rPr>
      </w:pPr>
    </w:p>
    <w:p w14:paraId="3C674F35">
      <w:pPr>
        <w:pStyle w:val="25"/>
        <w:adjustRightInd w:val="0"/>
        <w:spacing w:before="160" w:after="160"/>
        <w:ind w:firstLine="0" w:firstLineChars="0"/>
        <w:contextualSpacing/>
        <w:rPr>
          <w:rFonts w:hint="eastAsia" w:ascii="宋体" w:hAnsi="宋体" w:eastAsia="宋体"/>
          <w:sz w:val="21"/>
          <w:szCs w:val="20"/>
        </w:rPr>
      </w:pPr>
    </w:p>
    <w:p w14:paraId="47B74368">
      <w:pPr>
        <w:pStyle w:val="25"/>
        <w:adjustRightInd w:val="0"/>
        <w:spacing w:before="160" w:after="160"/>
        <w:ind w:firstLine="0" w:firstLineChars="0"/>
        <w:contextualSpacing/>
        <w:rPr>
          <w:rFonts w:hint="eastAsia" w:ascii="宋体" w:hAnsi="宋体" w:eastAsia="宋体"/>
          <w:sz w:val="21"/>
          <w:szCs w:val="20"/>
        </w:rPr>
      </w:pPr>
    </w:p>
    <w:p w14:paraId="6B2E4F27">
      <w:pPr>
        <w:pStyle w:val="25"/>
        <w:adjustRightInd w:val="0"/>
        <w:spacing w:before="160" w:after="160"/>
        <w:ind w:firstLine="0" w:firstLineChars="0"/>
        <w:contextualSpacing/>
        <w:jc w:val="center"/>
        <w:rPr>
          <w:rFonts w:hint="eastAsia" w:ascii="宋体" w:hAnsi="宋体" w:eastAsia="宋体"/>
          <w:sz w:val="21"/>
          <w:szCs w:val="20"/>
        </w:rPr>
      </w:pPr>
      <w:r>
        <w:rPr>
          <w:rFonts w:hint="eastAsia" w:ascii="宋体" w:hAnsi="宋体" w:eastAsia="宋体"/>
          <w:sz w:val="21"/>
          <w:szCs w:val="20"/>
          <w:lang w:val="en-US" w:eastAsia="zh-CN"/>
        </w:rPr>
        <w:t xml:space="preserve">                                         </w:t>
      </w:r>
      <w:r>
        <w:rPr>
          <w:rFonts w:hint="eastAsia" w:ascii="宋体" w:hAnsi="宋体" w:eastAsia="宋体"/>
          <w:sz w:val="21"/>
          <w:szCs w:val="20"/>
        </w:rPr>
        <w:t>公司（签章）</w:t>
      </w:r>
    </w:p>
    <w:p w14:paraId="37F5609C">
      <w:pPr>
        <w:pStyle w:val="25"/>
        <w:adjustRightInd w:val="0"/>
        <w:spacing w:before="160" w:after="160"/>
        <w:ind w:firstLine="0" w:firstLineChars="0"/>
        <w:contextualSpacing/>
        <w:jc w:val="center"/>
        <w:rPr>
          <w:rFonts w:hint="eastAsia" w:ascii="宋体" w:hAnsi="宋体" w:eastAsia="宋体"/>
          <w:sz w:val="21"/>
          <w:szCs w:val="20"/>
        </w:rPr>
      </w:pPr>
      <w:r>
        <w:rPr>
          <w:rFonts w:hint="eastAsia" w:ascii="宋体" w:hAnsi="宋体" w:eastAsia="宋体"/>
          <w:sz w:val="21"/>
          <w:szCs w:val="20"/>
          <w:lang w:val="en-US" w:eastAsia="zh-CN"/>
        </w:rPr>
        <w:t xml:space="preserve">                                        </w:t>
      </w:r>
      <w:r>
        <w:rPr>
          <w:rFonts w:hint="eastAsia" w:ascii="宋体" w:hAnsi="宋体" w:eastAsia="宋体"/>
          <w:sz w:val="21"/>
          <w:szCs w:val="20"/>
        </w:rPr>
        <w:t>年  月  日</w:t>
      </w:r>
    </w:p>
    <w:p w14:paraId="2DAD48F4">
      <w:pPr>
        <w:widowControl/>
        <w:adjustRightInd w:val="0"/>
        <w:spacing w:before="160" w:after="160"/>
        <w:contextualSpacing/>
        <w:jc w:val="left"/>
        <w:rPr>
          <w:rFonts w:hint="eastAsia" w:ascii="宋体" w:hAnsi="宋体" w:eastAsia="宋体"/>
          <w:sz w:val="20"/>
          <w:szCs w:val="20"/>
        </w:rPr>
      </w:pPr>
    </w:p>
    <w:p w14:paraId="07070614">
      <w:pPr>
        <w:rPr>
          <w:sz w:val="20"/>
          <w:szCs w:val="22"/>
        </w:rPr>
      </w:pPr>
    </w:p>
    <w:p w14:paraId="2AC3E3BF">
      <w:pPr>
        <w:widowControl/>
        <w:jc w:val="left"/>
        <w:rPr>
          <w:sz w:val="20"/>
          <w:szCs w:val="22"/>
        </w:rPr>
      </w:pPr>
    </w:p>
    <w:p w14:paraId="27B84592">
      <w:pPr>
        <w:pStyle w:val="2"/>
        <w:rPr>
          <w:rFonts w:hint="eastAsia"/>
          <w:sz w:val="20"/>
          <w:szCs w:val="22"/>
          <w:lang w:val="en-US" w:eastAsia="zh-CN"/>
        </w:rPr>
      </w:pPr>
    </w:p>
    <w:sectPr>
      <w:footerReference r:id="rId4" w:type="default"/>
      <w:pgSz w:w="11906" w:h="16838"/>
      <w:pgMar w:top="1440" w:right="1519" w:bottom="1440" w:left="1576"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Calibri Light">
    <w:altName w:val="Calibri"/>
    <w:panose1 w:val="020F0302020204030204"/>
    <w:charset w:val="00"/>
    <w:family w:val="auto"/>
    <w:pitch w:val="default"/>
    <w:sig w:usb0="00000000" w:usb1="00000000"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2010601030101010101"/>
    <w:charset w:val="86"/>
    <w:family w:val="auto"/>
    <w:pitch w:val="default"/>
    <w:sig w:usb0="00000000" w:usb1="00000000" w:usb2="0000000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Gulim">
    <w:panose1 w:val="020B0600000101010101"/>
    <w:charset w:val="81"/>
    <w:family w:val="auto"/>
    <w:pitch w:val="default"/>
    <w:sig w:usb0="B00002AF" w:usb1="69D77CFB" w:usb2="00000030" w:usb3="00000000" w:csb0="4008009F" w:csb1="DFD70000"/>
  </w:font>
  <w:font w:name="方正仿宋简体">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A13BD">
    <w:pPr>
      <w:pStyle w:val="10"/>
    </w:pPr>
  </w:p>
  <w:p w14:paraId="304BC432">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72CD7">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772CD7">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20B6">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13B1D">
                          <w:pPr>
                            <w:pStyle w:val="10"/>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8813B1D">
                    <w:pPr>
                      <w:pStyle w:val="10"/>
                    </w:pPr>
                    <w:r>
                      <w:fldChar w:fldCharType="begin"/>
                    </w:r>
                    <w:r>
                      <w:instrText xml:space="preserve"> PAGE  \* MERGEFORMAT </w:instrText>
                    </w:r>
                    <w:r>
                      <w:fldChar w:fldCharType="separate"/>
                    </w:r>
                    <w:r>
                      <w:t>12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2FFF4"/>
    <w:multiLevelType w:val="singleLevel"/>
    <w:tmpl w:val="9B22FFF4"/>
    <w:lvl w:ilvl="0" w:tentative="0">
      <w:start w:val="1"/>
      <w:numFmt w:val="decimal"/>
      <w:lvlText w:val="%1."/>
      <w:lvlJc w:val="left"/>
      <w:pPr>
        <w:tabs>
          <w:tab w:val="left" w:pos="312"/>
        </w:tabs>
      </w:pPr>
    </w:lvl>
  </w:abstractNum>
  <w:abstractNum w:abstractNumId="1">
    <w:nsid w:val="B4DC7CDD"/>
    <w:multiLevelType w:val="singleLevel"/>
    <w:tmpl w:val="B4DC7CDD"/>
    <w:lvl w:ilvl="0" w:tentative="0">
      <w:start w:val="3"/>
      <w:numFmt w:val="decimal"/>
      <w:suff w:val="nothing"/>
      <w:lvlText w:val="%1、"/>
      <w:lvlJc w:val="left"/>
    </w:lvl>
  </w:abstractNum>
  <w:abstractNum w:abstractNumId="2">
    <w:nsid w:val="BA3F8AF7"/>
    <w:multiLevelType w:val="singleLevel"/>
    <w:tmpl w:val="BA3F8AF7"/>
    <w:lvl w:ilvl="0" w:tentative="0">
      <w:start w:val="1"/>
      <w:numFmt w:val="decimal"/>
      <w:lvlText w:val="%1."/>
      <w:lvlJc w:val="left"/>
      <w:pPr>
        <w:tabs>
          <w:tab w:val="left" w:pos="312"/>
        </w:tabs>
      </w:pPr>
    </w:lvl>
  </w:abstractNum>
  <w:abstractNum w:abstractNumId="3">
    <w:nsid w:val="CECF7AE3"/>
    <w:multiLevelType w:val="singleLevel"/>
    <w:tmpl w:val="CECF7AE3"/>
    <w:lvl w:ilvl="0" w:tentative="0">
      <w:start w:val="1"/>
      <w:numFmt w:val="decimal"/>
      <w:lvlText w:val="%1."/>
      <w:lvlJc w:val="left"/>
      <w:pPr>
        <w:tabs>
          <w:tab w:val="left" w:pos="312"/>
        </w:tabs>
      </w:pPr>
    </w:lvl>
  </w:abstractNum>
  <w:abstractNum w:abstractNumId="4">
    <w:nsid w:val="D74FAC9E"/>
    <w:multiLevelType w:val="singleLevel"/>
    <w:tmpl w:val="D74FAC9E"/>
    <w:lvl w:ilvl="0" w:tentative="0">
      <w:start w:val="1"/>
      <w:numFmt w:val="decimal"/>
      <w:lvlText w:val="%1."/>
      <w:lvlJc w:val="left"/>
      <w:pPr>
        <w:tabs>
          <w:tab w:val="left" w:pos="312"/>
        </w:tabs>
      </w:pPr>
    </w:lvl>
  </w:abstractNum>
  <w:abstractNum w:abstractNumId="5">
    <w:nsid w:val="E2B922F5"/>
    <w:multiLevelType w:val="singleLevel"/>
    <w:tmpl w:val="E2B922F5"/>
    <w:lvl w:ilvl="0" w:tentative="0">
      <w:start w:val="1"/>
      <w:numFmt w:val="decimal"/>
      <w:lvlText w:val="%1."/>
      <w:lvlJc w:val="left"/>
      <w:pPr>
        <w:tabs>
          <w:tab w:val="left" w:pos="312"/>
        </w:tabs>
      </w:pPr>
    </w:lvl>
  </w:abstractNum>
  <w:abstractNum w:abstractNumId="6">
    <w:nsid w:val="F54DB2D7"/>
    <w:multiLevelType w:val="singleLevel"/>
    <w:tmpl w:val="F54DB2D7"/>
    <w:lvl w:ilvl="0" w:tentative="0">
      <w:start w:val="1"/>
      <w:numFmt w:val="decimal"/>
      <w:suff w:val="space"/>
      <w:lvlText w:val="%1."/>
      <w:lvlJc w:val="left"/>
    </w:lvl>
  </w:abstractNum>
  <w:abstractNum w:abstractNumId="7">
    <w:nsid w:val="00000044"/>
    <w:multiLevelType w:val="multilevel"/>
    <w:tmpl w:val="00000044"/>
    <w:lvl w:ilvl="0" w:tentative="0">
      <w:start w:val="1"/>
      <w:numFmt w:val="decimal"/>
      <w:lvlText w:val="1.1.1.%1"/>
      <w:lvlJc w:val="left"/>
      <w:pPr>
        <w:ind w:left="420" w:hanging="420"/>
      </w:pPr>
      <w:rPr>
        <w:rFonts w:hint="eastAsia"/>
      </w:rPr>
    </w:lvl>
    <w:lvl w:ilvl="1" w:tentative="0">
      <w:start w:val="1"/>
      <w:numFmt w:val="decimal"/>
      <w:lvlText w:val="%2."/>
      <w:lvlJc w:val="left"/>
      <w:pPr>
        <w:tabs>
          <w:tab w:val="left" w:pos="720"/>
        </w:tabs>
        <w:ind w:left="0" w:firstLine="0"/>
      </w:pPr>
      <w:rPr>
        <w:rFonts w:ascii="宋体" w:hAnsi="宋体" w:eastAsia="宋体"/>
        <w:b/>
        <w:bCs w:val="0"/>
        <w:i w:val="0"/>
        <w:iCs w:val="0"/>
        <w:caps w:val="0"/>
        <w:smallCaps w:val="0"/>
        <w:strike w:val="0"/>
        <w:dstrike w:val="0"/>
        <w:color w:val="000000"/>
        <w:spacing w:val="0"/>
        <w:position w:val="0"/>
        <w:sz w:val="28"/>
        <w:szCs w:val="28"/>
        <w:u w:val="none"/>
      </w:rPr>
    </w:lvl>
    <w:lvl w:ilvl="2" w:tentative="0">
      <w:start w:val="1"/>
      <w:numFmt w:val="decimal"/>
      <w:pStyle w:val="5"/>
      <w:lvlText w:val="%2.%3"/>
      <w:lvlJc w:val="left"/>
      <w:pPr>
        <w:tabs>
          <w:tab w:val="left" w:pos="1014"/>
        </w:tabs>
        <w:ind w:left="294" w:firstLine="0"/>
      </w:pPr>
      <w:rPr>
        <w:b/>
        <w:bCs w:val="0"/>
        <w:i w:val="0"/>
        <w:iCs w:val="0"/>
        <w:caps w:val="0"/>
        <w:smallCaps w:val="0"/>
        <w:strike w:val="0"/>
        <w:dstrike w:val="0"/>
        <w:spacing w:val="0"/>
        <w:position w:val="0"/>
        <w:u w:val="none"/>
        <w:lang w:eastAsia="zh-CN"/>
      </w:rPr>
    </w:lvl>
    <w:lvl w:ilvl="3" w:tentative="0">
      <w:start w:val="1"/>
      <w:numFmt w:val="decimal"/>
      <w:lvlText w:val="%2.%3.%4"/>
      <w:lvlJc w:val="left"/>
      <w:pPr>
        <w:tabs>
          <w:tab w:val="left" w:pos="2924"/>
        </w:tabs>
        <w:ind w:left="567" w:firstLine="0"/>
      </w:pPr>
      <w:rPr>
        <w:rFonts w:hint="default" w:ascii="宋体" w:hAnsi="宋体" w:eastAsia="宋体" w:cs="Times New Roman"/>
        <w:b/>
        <w:bCs w:val="0"/>
        <w:i w:val="0"/>
        <w:iCs w:val="0"/>
        <w:caps w:val="0"/>
        <w:smallCaps w:val="0"/>
        <w:strike w:val="0"/>
        <w:dstrike w:val="0"/>
        <w:color w:val="000000"/>
        <w:spacing w:val="0"/>
        <w:position w:val="0"/>
        <w:u w:val="none"/>
      </w:rPr>
    </w:lvl>
    <w:lvl w:ilvl="4" w:tentative="0">
      <w:start w:val="1"/>
      <w:numFmt w:val="decimal"/>
      <w:pStyle w:val="7"/>
      <w:lvlText w:val="%2.%3.%4.%5"/>
      <w:lvlJc w:val="left"/>
      <w:pPr>
        <w:tabs>
          <w:tab w:val="left" w:pos="2291"/>
        </w:tabs>
        <w:ind w:left="851" w:firstLine="0"/>
      </w:pPr>
      <w:rPr>
        <w:rFonts w:hint="default" w:ascii="宋体" w:hAnsi="宋体" w:eastAsia="宋体" w:cs="Times New Roman"/>
        <w:b w:val="0"/>
        <w:bCs w:val="0"/>
        <w:i w:val="0"/>
        <w:iCs w:val="0"/>
        <w:caps w:val="0"/>
        <w:smallCaps w:val="0"/>
        <w:strike w:val="0"/>
        <w:dstrike w:val="0"/>
        <w:color w:val="000000"/>
        <w:spacing w:val="0"/>
        <w:position w:val="0"/>
        <w:u w:val="none"/>
      </w:rPr>
    </w:lvl>
    <w:lvl w:ilvl="5" w:tentative="0">
      <w:start w:val="1"/>
      <w:numFmt w:val="decimal"/>
      <w:suff w:val="nothing"/>
      <w:lvlText w:val="%2.%3.%4.%5.%6"/>
      <w:lvlJc w:val="left"/>
      <w:pPr>
        <w:ind w:left="142" w:firstLine="0"/>
      </w:pPr>
      <w:rPr>
        <w:b w:val="0"/>
        <w:bCs w:val="0"/>
        <w:i w:val="0"/>
        <w:iCs w:val="0"/>
        <w:caps w:val="0"/>
        <w:smallCaps w:val="0"/>
        <w:strike w:val="0"/>
        <w:dstrike w:val="0"/>
        <w:color w:val="000000"/>
        <w:spacing w:val="0"/>
        <w:position w:val="0"/>
        <w:u w:val="none"/>
      </w:rPr>
    </w:lvl>
    <w:lvl w:ilvl="6" w:tentative="0">
      <w:start w:val="1"/>
      <w:numFmt w:val="decimal"/>
      <w:suff w:val="nothing"/>
      <w:lvlText w:val="%2.%3.%4.%5.%6.%7"/>
      <w:lvlJc w:val="left"/>
      <w:pPr>
        <w:ind w:left="294" w:firstLine="0"/>
      </w:pPr>
      <w:rPr>
        <w:rFonts w:hint="eastAsia"/>
      </w:rPr>
    </w:lvl>
    <w:lvl w:ilvl="7" w:tentative="0">
      <w:start w:val="1"/>
      <w:numFmt w:val="none"/>
      <w:suff w:val="nothing"/>
      <w:lvlText w:val=""/>
      <w:lvlJc w:val="left"/>
      <w:pPr>
        <w:ind w:left="294" w:firstLine="0"/>
      </w:pPr>
      <w:rPr>
        <w:rFonts w:hint="eastAsia"/>
      </w:rPr>
    </w:lvl>
    <w:lvl w:ilvl="8" w:tentative="0">
      <w:start w:val="1"/>
      <w:numFmt w:val="none"/>
      <w:suff w:val="nothing"/>
      <w:lvlText w:val=""/>
      <w:lvlJc w:val="left"/>
      <w:pPr>
        <w:ind w:left="294" w:firstLine="0"/>
      </w:pPr>
      <w:rPr>
        <w:rFonts w:hint="eastAsia"/>
      </w:rPr>
    </w:lvl>
  </w:abstractNum>
  <w:abstractNum w:abstractNumId="8">
    <w:nsid w:val="0EAB303A"/>
    <w:multiLevelType w:val="singleLevel"/>
    <w:tmpl w:val="0EAB303A"/>
    <w:lvl w:ilvl="0" w:tentative="0">
      <w:start w:val="1"/>
      <w:numFmt w:val="decimal"/>
      <w:lvlText w:val="%1."/>
      <w:lvlJc w:val="left"/>
      <w:pPr>
        <w:tabs>
          <w:tab w:val="left" w:pos="312"/>
        </w:tabs>
      </w:pPr>
    </w:lvl>
  </w:abstractNum>
  <w:abstractNum w:abstractNumId="9">
    <w:nsid w:val="262AC409"/>
    <w:multiLevelType w:val="singleLevel"/>
    <w:tmpl w:val="262AC409"/>
    <w:lvl w:ilvl="0" w:tentative="0">
      <w:start w:val="4"/>
      <w:numFmt w:val="chineseCounting"/>
      <w:suff w:val="nothing"/>
      <w:lvlText w:val="%1、"/>
      <w:lvlJc w:val="left"/>
      <w:rPr>
        <w:rFonts w:hint="eastAsia"/>
      </w:rPr>
    </w:lvl>
  </w:abstractNum>
  <w:abstractNum w:abstractNumId="10">
    <w:nsid w:val="2E93CEBA"/>
    <w:multiLevelType w:val="singleLevel"/>
    <w:tmpl w:val="2E93CEBA"/>
    <w:lvl w:ilvl="0" w:tentative="0">
      <w:start w:val="1"/>
      <w:numFmt w:val="decimal"/>
      <w:lvlText w:val="%1."/>
      <w:lvlJc w:val="left"/>
      <w:pPr>
        <w:tabs>
          <w:tab w:val="left" w:pos="312"/>
        </w:tabs>
      </w:pPr>
    </w:lvl>
  </w:abstractNum>
  <w:abstractNum w:abstractNumId="11">
    <w:nsid w:val="384D0EA7"/>
    <w:multiLevelType w:val="multilevel"/>
    <w:tmpl w:val="384D0EA7"/>
    <w:lvl w:ilvl="0" w:tentative="0">
      <w:start w:val="1"/>
      <w:numFmt w:val="decimal"/>
      <w:lvlText w:val="%1."/>
      <w:lvlJc w:val="left"/>
      <w:pPr>
        <w:ind w:left="420" w:hanging="420"/>
      </w:pPr>
    </w:lvl>
    <w:lvl w:ilvl="1" w:tentative="0">
      <w:start w:val="1"/>
      <w:numFmt w:val="decimal"/>
      <w:lvlText w:val="%2."/>
      <w:lvlJc w:val="left"/>
      <w:pPr>
        <w:ind w:left="840" w:hanging="420"/>
      </w:pPr>
      <w:rPr>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F5448FA"/>
    <w:multiLevelType w:val="multilevel"/>
    <w:tmpl w:val="3F5448FA"/>
    <w:lvl w:ilvl="0" w:tentative="0">
      <w:start w:val="1"/>
      <w:numFmt w:val="decimal"/>
      <w:pStyle w:val="3"/>
      <w:lvlText w:val="%1"/>
      <w:lvlJc w:val="left"/>
      <w:pPr>
        <w:ind w:left="425" w:hanging="425"/>
      </w:pPr>
      <w:rPr>
        <w:rFonts w:hint="eastAsia"/>
      </w:rPr>
    </w:lvl>
    <w:lvl w:ilvl="1" w:tentative="0">
      <w:start w:val="1"/>
      <w:numFmt w:val="decimal"/>
      <w:pStyle w:val="4"/>
      <w:isLgl/>
      <w:lvlText w:val="%1.%2"/>
      <w:lvlJc w:val="left"/>
      <w:pPr>
        <w:ind w:left="992" w:hanging="567"/>
      </w:pPr>
      <w:rPr>
        <w:rFonts w:hint="eastAsia" w:eastAsia="微软雅黑"/>
        <w:b/>
        <w:i w:val="0"/>
        <w:sz w:val="24"/>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3">
    <w:nsid w:val="59322E50"/>
    <w:multiLevelType w:val="multilevel"/>
    <w:tmpl w:val="59322E50"/>
    <w:lvl w:ilvl="0" w:tentative="0">
      <w:start w:val="1"/>
      <w:numFmt w:val="decimal"/>
      <w:lvlText w:val="%1."/>
      <w:lvlJc w:val="left"/>
      <w:pPr>
        <w:ind w:left="704"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abstractNum w:abstractNumId="14">
    <w:nsid w:val="7C05BEE5"/>
    <w:multiLevelType w:val="singleLevel"/>
    <w:tmpl w:val="7C05BEE5"/>
    <w:lvl w:ilvl="0" w:tentative="0">
      <w:start w:val="1"/>
      <w:numFmt w:val="decimal"/>
      <w:lvlText w:val="%1."/>
      <w:lvlJc w:val="left"/>
      <w:pPr>
        <w:tabs>
          <w:tab w:val="left" w:pos="312"/>
        </w:tabs>
      </w:pPr>
    </w:lvl>
  </w:abstractNum>
  <w:num w:numId="1">
    <w:abstractNumId w:val="12"/>
  </w:num>
  <w:num w:numId="2">
    <w:abstractNumId w:val="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
  </w:num>
  <w:num w:numId="6">
    <w:abstractNumId w:val="0"/>
  </w:num>
  <w:num w:numId="7">
    <w:abstractNumId w:val="6"/>
  </w:num>
  <w:num w:numId="8">
    <w:abstractNumId w:val="3"/>
  </w:num>
  <w:num w:numId="9">
    <w:abstractNumId w:val="5"/>
  </w:num>
  <w:num w:numId="10">
    <w:abstractNumId w:val="10"/>
  </w:num>
  <w:num w:numId="11">
    <w:abstractNumId w:val="8"/>
  </w:num>
  <w:num w:numId="12">
    <w:abstractNumId w:val="4"/>
  </w:num>
  <w:num w:numId="13">
    <w:abstractNumId w:val="14"/>
  </w:num>
  <w:num w:numId="14">
    <w:abstractNumId w:val="2"/>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jYThlMTcwODdiNzM2YWNlYWM3NTgxNGIyNWFhOWYifQ=="/>
  </w:docVars>
  <w:rsids>
    <w:rsidRoot w:val="70DE5FBE"/>
    <w:rsid w:val="000515D7"/>
    <w:rsid w:val="00073CA6"/>
    <w:rsid w:val="003F48FF"/>
    <w:rsid w:val="00405888"/>
    <w:rsid w:val="005A592D"/>
    <w:rsid w:val="006D2F31"/>
    <w:rsid w:val="007A0FD6"/>
    <w:rsid w:val="00893736"/>
    <w:rsid w:val="00B57B36"/>
    <w:rsid w:val="00C326CF"/>
    <w:rsid w:val="00CE2C5E"/>
    <w:rsid w:val="00D84F5C"/>
    <w:rsid w:val="00D94872"/>
    <w:rsid w:val="01133525"/>
    <w:rsid w:val="01252DDB"/>
    <w:rsid w:val="013F7A9A"/>
    <w:rsid w:val="015A5DDC"/>
    <w:rsid w:val="0169558A"/>
    <w:rsid w:val="016B20C5"/>
    <w:rsid w:val="016E3386"/>
    <w:rsid w:val="018813E3"/>
    <w:rsid w:val="01BA31C1"/>
    <w:rsid w:val="01E9483F"/>
    <w:rsid w:val="0211314E"/>
    <w:rsid w:val="021747F0"/>
    <w:rsid w:val="023F3511"/>
    <w:rsid w:val="027531FC"/>
    <w:rsid w:val="02777CA1"/>
    <w:rsid w:val="027F6D6C"/>
    <w:rsid w:val="02B24304"/>
    <w:rsid w:val="02C40376"/>
    <w:rsid w:val="02CF3F30"/>
    <w:rsid w:val="032169B1"/>
    <w:rsid w:val="032255CB"/>
    <w:rsid w:val="033866DD"/>
    <w:rsid w:val="034F11B4"/>
    <w:rsid w:val="03552A08"/>
    <w:rsid w:val="038E660E"/>
    <w:rsid w:val="03957F6E"/>
    <w:rsid w:val="03B661CD"/>
    <w:rsid w:val="03F330B5"/>
    <w:rsid w:val="03F812DA"/>
    <w:rsid w:val="03F859F7"/>
    <w:rsid w:val="040430EB"/>
    <w:rsid w:val="04080631"/>
    <w:rsid w:val="040C6EFD"/>
    <w:rsid w:val="04177243"/>
    <w:rsid w:val="041C0927"/>
    <w:rsid w:val="042F016D"/>
    <w:rsid w:val="043B0E09"/>
    <w:rsid w:val="04480B0F"/>
    <w:rsid w:val="04523F24"/>
    <w:rsid w:val="0457222B"/>
    <w:rsid w:val="045B44B4"/>
    <w:rsid w:val="04655283"/>
    <w:rsid w:val="04A455C6"/>
    <w:rsid w:val="04C3736C"/>
    <w:rsid w:val="04C8279F"/>
    <w:rsid w:val="04EF4D28"/>
    <w:rsid w:val="04F15CAC"/>
    <w:rsid w:val="04FE6536"/>
    <w:rsid w:val="05277080"/>
    <w:rsid w:val="05282598"/>
    <w:rsid w:val="053C6A06"/>
    <w:rsid w:val="055406E4"/>
    <w:rsid w:val="05554783"/>
    <w:rsid w:val="056350F2"/>
    <w:rsid w:val="058A6904"/>
    <w:rsid w:val="059228FE"/>
    <w:rsid w:val="05E60149"/>
    <w:rsid w:val="06182F00"/>
    <w:rsid w:val="062261FD"/>
    <w:rsid w:val="06254DA5"/>
    <w:rsid w:val="06273735"/>
    <w:rsid w:val="06614EC8"/>
    <w:rsid w:val="06927799"/>
    <w:rsid w:val="06BC079B"/>
    <w:rsid w:val="06C57DBB"/>
    <w:rsid w:val="06EF6EAB"/>
    <w:rsid w:val="0703310E"/>
    <w:rsid w:val="07087596"/>
    <w:rsid w:val="074D6796"/>
    <w:rsid w:val="077C7554"/>
    <w:rsid w:val="07D72EEC"/>
    <w:rsid w:val="07D956F0"/>
    <w:rsid w:val="07E72487"/>
    <w:rsid w:val="07E73F67"/>
    <w:rsid w:val="08385709"/>
    <w:rsid w:val="0846296C"/>
    <w:rsid w:val="084F532E"/>
    <w:rsid w:val="0860304A"/>
    <w:rsid w:val="08663E8F"/>
    <w:rsid w:val="087F19FD"/>
    <w:rsid w:val="087F2C82"/>
    <w:rsid w:val="0886108C"/>
    <w:rsid w:val="0890063D"/>
    <w:rsid w:val="089E0931"/>
    <w:rsid w:val="08ED0636"/>
    <w:rsid w:val="08ED7D7D"/>
    <w:rsid w:val="08EF3612"/>
    <w:rsid w:val="091805FA"/>
    <w:rsid w:val="091C771F"/>
    <w:rsid w:val="092936BF"/>
    <w:rsid w:val="092E279E"/>
    <w:rsid w:val="09317D93"/>
    <w:rsid w:val="09547673"/>
    <w:rsid w:val="0958169A"/>
    <w:rsid w:val="0959181F"/>
    <w:rsid w:val="09627775"/>
    <w:rsid w:val="09857786"/>
    <w:rsid w:val="09D119A1"/>
    <w:rsid w:val="09DF53CC"/>
    <w:rsid w:val="0A0B79C3"/>
    <w:rsid w:val="0A2006DF"/>
    <w:rsid w:val="0A3112CA"/>
    <w:rsid w:val="0A351CCC"/>
    <w:rsid w:val="0A557CB8"/>
    <w:rsid w:val="0A8D3A0A"/>
    <w:rsid w:val="0AA95014"/>
    <w:rsid w:val="0AAE7D6D"/>
    <w:rsid w:val="0AAF412D"/>
    <w:rsid w:val="0ABC0CAB"/>
    <w:rsid w:val="0AD331F1"/>
    <w:rsid w:val="0AE5406E"/>
    <w:rsid w:val="0AF16E3E"/>
    <w:rsid w:val="0AF82260"/>
    <w:rsid w:val="0AFB6AF0"/>
    <w:rsid w:val="0B0651DB"/>
    <w:rsid w:val="0B0C5AC8"/>
    <w:rsid w:val="0B29668E"/>
    <w:rsid w:val="0B4C5C81"/>
    <w:rsid w:val="0B75067A"/>
    <w:rsid w:val="0BBE3D51"/>
    <w:rsid w:val="0BC10559"/>
    <w:rsid w:val="0BC664D9"/>
    <w:rsid w:val="0BF47852"/>
    <w:rsid w:val="0C171867"/>
    <w:rsid w:val="0C1B1EEC"/>
    <w:rsid w:val="0C226739"/>
    <w:rsid w:val="0C3F72D7"/>
    <w:rsid w:val="0C441A2C"/>
    <w:rsid w:val="0C4F3640"/>
    <w:rsid w:val="0C5E25D5"/>
    <w:rsid w:val="0C6C2BF0"/>
    <w:rsid w:val="0C792AD0"/>
    <w:rsid w:val="0C7D2E8A"/>
    <w:rsid w:val="0CA442BB"/>
    <w:rsid w:val="0CBD17D3"/>
    <w:rsid w:val="0CCB039A"/>
    <w:rsid w:val="0CD331B8"/>
    <w:rsid w:val="0CD95C83"/>
    <w:rsid w:val="0CDD41A8"/>
    <w:rsid w:val="0CE81EAA"/>
    <w:rsid w:val="0CE87AF0"/>
    <w:rsid w:val="0CF15815"/>
    <w:rsid w:val="0D3606B5"/>
    <w:rsid w:val="0D444E52"/>
    <w:rsid w:val="0D5420F9"/>
    <w:rsid w:val="0D822738"/>
    <w:rsid w:val="0D847289"/>
    <w:rsid w:val="0D8D654B"/>
    <w:rsid w:val="0D912949"/>
    <w:rsid w:val="0D98135B"/>
    <w:rsid w:val="0DB01DAD"/>
    <w:rsid w:val="0DBC1F70"/>
    <w:rsid w:val="0DC45258"/>
    <w:rsid w:val="0DD344F9"/>
    <w:rsid w:val="0DEB0981"/>
    <w:rsid w:val="0DFB1CA5"/>
    <w:rsid w:val="0E033F8B"/>
    <w:rsid w:val="0E06275E"/>
    <w:rsid w:val="0E6B38CB"/>
    <w:rsid w:val="0E9C6019"/>
    <w:rsid w:val="0EA31302"/>
    <w:rsid w:val="0EB068BD"/>
    <w:rsid w:val="0EB37F41"/>
    <w:rsid w:val="0ED70339"/>
    <w:rsid w:val="0EDE68F9"/>
    <w:rsid w:val="0EF91020"/>
    <w:rsid w:val="0F0435A9"/>
    <w:rsid w:val="0F0D5446"/>
    <w:rsid w:val="0F1D38DB"/>
    <w:rsid w:val="0F267565"/>
    <w:rsid w:val="0F4F66AB"/>
    <w:rsid w:val="0F5116AE"/>
    <w:rsid w:val="0F705CE9"/>
    <w:rsid w:val="0F9945D5"/>
    <w:rsid w:val="0FA3508E"/>
    <w:rsid w:val="0FAE4B88"/>
    <w:rsid w:val="0FB605AA"/>
    <w:rsid w:val="0FB85BDB"/>
    <w:rsid w:val="0FBB3C8B"/>
    <w:rsid w:val="0FCD1EC1"/>
    <w:rsid w:val="0FE614E1"/>
    <w:rsid w:val="0FFE4337"/>
    <w:rsid w:val="10011076"/>
    <w:rsid w:val="10082E76"/>
    <w:rsid w:val="1019069D"/>
    <w:rsid w:val="101F67C9"/>
    <w:rsid w:val="1023528A"/>
    <w:rsid w:val="10256D7C"/>
    <w:rsid w:val="104963C3"/>
    <w:rsid w:val="105A0C32"/>
    <w:rsid w:val="105A40DF"/>
    <w:rsid w:val="10694104"/>
    <w:rsid w:val="10762DDA"/>
    <w:rsid w:val="107C0BCB"/>
    <w:rsid w:val="10857784"/>
    <w:rsid w:val="10867635"/>
    <w:rsid w:val="10875798"/>
    <w:rsid w:val="10997447"/>
    <w:rsid w:val="109C3C4F"/>
    <w:rsid w:val="10A51543"/>
    <w:rsid w:val="10A623CD"/>
    <w:rsid w:val="11023040"/>
    <w:rsid w:val="110C3F2E"/>
    <w:rsid w:val="11174AFE"/>
    <w:rsid w:val="113C42A7"/>
    <w:rsid w:val="114875EB"/>
    <w:rsid w:val="114A3331"/>
    <w:rsid w:val="11634D89"/>
    <w:rsid w:val="1168209E"/>
    <w:rsid w:val="11822C48"/>
    <w:rsid w:val="11963445"/>
    <w:rsid w:val="11A234B7"/>
    <w:rsid w:val="11A766DC"/>
    <w:rsid w:val="11AB7FB6"/>
    <w:rsid w:val="11C02B43"/>
    <w:rsid w:val="11C76994"/>
    <w:rsid w:val="120622C2"/>
    <w:rsid w:val="121B6569"/>
    <w:rsid w:val="122D6EBE"/>
    <w:rsid w:val="12515B6A"/>
    <w:rsid w:val="125F74C8"/>
    <w:rsid w:val="126C3FD7"/>
    <w:rsid w:val="12990A14"/>
    <w:rsid w:val="12B44556"/>
    <w:rsid w:val="12D85778"/>
    <w:rsid w:val="12E05F13"/>
    <w:rsid w:val="12E140C6"/>
    <w:rsid w:val="12F710DC"/>
    <w:rsid w:val="133E69E1"/>
    <w:rsid w:val="134F7DCC"/>
    <w:rsid w:val="13A47FB9"/>
    <w:rsid w:val="13A74F19"/>
    <w:rsid w:val="13C867F2"/>
    <w:rsid w:val="13CA6470"/>
    <w:rsid w:val="13F26651"/>
    <w:rsid w:val="13F26C17"/>
    <w:rsid w:val="13F53A43"/>
    <w:rsid w:val="1418012E"/>
    <w:rsid w:val="1447264B"/>
    <w:rsid w:val="145053BD"/>
    <w:rsid w:val="145B58F4"/>
    <w:rsid w:val="145D34E6"/>
    <w:rsid w:val="145D7972"/>
    <w:rsid w:val="146D1091"/>
    <w:rsid w:val="14827199"/>
    <w:rsid w:val="149D101A"/>
    <w:rsid w:val="14B34C6F"/>
    <w:rsid w:val="14BE7B97"/>
    <w:rsid w:val="14C15ED1"/>
    <w:rsid w:val="14D6262F"/>
    <w:rsid w:val="14F81D19"/>
    <w:rsid w:val="15015A4D"/>
    <w:rsid w:val="152D6366"/>
    <w:rsid w:val="153A6332"/>
    <w:rsid w:val="15574161"/>
    <w:rsid w:val="155B0163"/>
    <w:rsid w:val="15791A87"/>
    <w:rsid w:val="15C13474"/>
    <w:rsid w:val="15D02F66"/>
    <w:rsid w:val="15D674E5"/>
    <w:rsid w:val="15E25E2A"/>
    <w:rsid w:val="15E44B4B"/>
    <w:rsid w:val="160F0AF5"/>
    <w:rsid w:val="1611500D"/>
    <w:rsid w:val="16174B7A"/>
    <w:rsid w:val="164078B5"/>
    <w:rsid w:val="16512754"/>
    <w:rsid w:val="167819FF"/>
    <w:rsid w:val="16830CD1"/>
    <w:rsid w:val="16914301"/>
    <w:rsid w:val="16A3322F"/>
    <w:rsid w:val="16A73D98"/>
    <w:rsid w:val="16BD5B80"/>
    <w:rsid w:val="16CA19F5"/>
    <w:rsid w:val="16CD3E38"/>
    <w:rsid w:val="16EE20EB"/>
    <w:rsid w:val="16F74821"/>
    <w:rsid w:val="17056039"/>
    <w:rsid w:val="170B195A"/>
    <w:rsid w:val="170E059E"/>
    <w:rsid w:val="17327E6F"/>
    <w:rsid w:val="17473D3D"/>
    <w:rsid w:val="17485042"/>
    <w:rsid w:val="17641213"/>
    <w:rsid w:val="17764112"/>
    <w:rsid w:val="177A3293"/>
    <w:rsid w:val="178A352D"/>
    <w:rsid w:val="17BF37AC"/>
    <w:rsid w:val="17CD7622"/>
    <w:rsid w:val="17DF0A39"/>
    <w:rsid w:val="18240E8F"/>
    <w:rsid w:val="18273032"/>
    <w:rsid w:val="182A5635"/>
    <w:rsid w:val="182D04EA"/>
    <w:rsid w:val="185B4374"/>
    <w:rsid w:val="187E183C"/>
    <w:rsid w:val="187E7B5A"/>
    <w:rsid w:val="18912A5B"/>
    <w:rsid w:val="18A14AAA"/>
    <w:rsid w:val="18A1557C"/>
    <w:rsid w:val="18A47556"/>
    <w:rsid w:val="18AC4F64"/>
    <w:rsid w:val="18B0450C"/>
    <w:rsid w:val="18C526FE"/>
    <w:rsid w:val="18D86A09"/>
    <w:rsid w:val="18EE0BF6"/>
    <w:rsid w:val="19252EE7"/>
    <w:rsid w:val="193C51ED"/>
    <w:rsid w:val="194A758F"/>
    <w:rsid w:val="194D7436"/>
    <w:rsid w:val="19C2791A"/>
    <w:rsid w:val="19E20E6E"/>
    <w:rsid w:val="19E70E0E"/>
    <w:rsid w:val="1A1E64EE"/>
    <w:rsid w:val="1A2451BC"/>
    <w:rsid w:val="1A2746F7"/>
    <w:rsid w:val="1A463691"/>
    <w:rsid w:val="1A4D07B2"/>
    <w:rsid w:val="1A684B6E"/>
    <w:rsid w:val="1A6C2BB2"/>
    <w:rsid w:val="1A6E1403"/>
    <w:rsid w:val="1A7A1AEC"/>
    <w:rsid w:val="1A7D6B66"/>
    <w:rsid w:val="1A8A7137"/>
    <w:rsid w:val="1A8E701D"/>
    <w:rsid w:val="1ADE067E"/>
    <w:rsid w:val="1AE64423"/>
    <w:rsid w:val="1AF677EE"/>
    <w:rsid w:val="1AF92E4C"/>
    <w:rsid w:val="1B317B2B"/>
    <w:rsid w:val="1B7A5A60"/>
    <w:rsid w:val="1BAD2CF8"/>
    <w:rsid w:val="1BD85D3B"/>
    <w:rsid w:val="1C000031"/>
    <w:rsid w:val="1C037171"/>
    <w:rsid w:val="1C1F41D6"/>
    <w:rsid w:val="1C2837F3"/>
    <w:rsid w:val="1C4644CD"/>
    <w:rsid w:val="1C4B148C"/>
    <w:rsid w:val="1C693427"/>
    <w:rsid w:val="1CA26A88"/>
    <w:rsid w:val="1CA4563B"/>
    <w:rsid w:val="1CC03453"/>
    <w:rsid w:val="1CDB04DD"/>
    <w:rsid w:val="1CDB6B83"/>
    <w:rsid w:val="1CEE1106"/>
    <w:rsid w:val="1D027DA6"/>
    <w:rsid w:val="1D0C2880"/>
    <w:rsid w:val="1D0E0A28"/>
    <w:rsid w:val="1D170C45"/>
    <w:rsid w:val="1D2329F4"/>
    <w:rsid w:val="1D2514B1"/>
    <w:rsid w:val="1D3460A8"/>
    <w:rsid w:val="1D570D09"/>
    <w:rsid w:val="1D5F1E20"/>
    <w:rsid w:val="1D605E9A"/>
    <w:rsid w:val="1D622A9E"/>
    <w:rsid w:val="1D737850"/>
    <w:rsid w:val="1D9D423B"/>
    <w:rsid w:val="1DBB2E95"/>
    <w:rsid w:val="1DC6560C"/>
    <w:rsid w:val="1DCC746F"/>
    <w:rsid w:val="1DE32918"/>
    <w:rsid w:val="1E0F2923"/>
    <w:rsid w:val="1E1F4966"/>
    <w:rsid w:val="1E8307FC"/>
    <w:rsid w:val="1E8841DB"/>
    <w:rsid w:val="1E8C402A"/>
    <w:rsid w:val="1E8F2A30"/>
    <w:rsid w:val="1E977E3D"/>
    <w:rsid w:val="1EB45B37"/>
    <w:rsid w:val="1EBB4FEF"/>
    <w:rsid w:val="1EBD2DA3"/>
    <w:rsid w:val="1EEC5078"/>
    <w:rsid w:val="1F02686E"/>
    <w:rsid w:val="1F0B7828"/>
    <w:rsid w:val="1F167167"/>
    <w:rsid w:val="1F1B06D0"/>
    <w:rsid w:val="1F2B07C1"/>
    <w:rsid w:val="1F34773E"/>
    <w:rsid w:val="1F4B1474"/>
    <w:rsid w:val="1F4D053B"/>
    <w:rsid w:val="1F82325E"/>
    <w:rsid w:val="1FB66096"/>
    <w:rsid w:val="1FC942F9"/>
    <w:rsid w:val="1FEF5571"/>
    <w:rsid w:val="1FFF10FF"/>
    <w:rsid w:val="20030E5F"/>
    <w:rsid w:val="200E50DC"/>
    <w:rsid w:val="2017563B"/>
    <w:rsid w:val="201C4C28"/>
    <w:rsid w:val="2027184D"/>
    <w:rsid w:val="204D1A8C"/>
    <w:rsid w:val="20592BE1"/>
    <w:rsid w:val="20C91B1B"/>
    <w:rsid w:val="20D17301"/>
    <w:rsid w:val="20ED3398"/>
    <w:rsid w:val="21125160"/>
    <w:rsid w:val="211C0E60"/>
    <w:rsid w:val="21604060"/>
    <w:rsid w:val="21671EE5"/>
    <w:rsid w:val="216F1CDA"/>
    <w:rsid w:val="21706925"/>
    <w:rsid w:val="21885F91"/>
    <w:rsid w:val="21B22C64"/>
    <w:rsid w:val="21B31E71"/>
    <w:rsid w:val="21D03C92"/>
    <w:rsid w:val="21DC7C19"/>
    <w:rsid w:val="21DE2A9F"/>
    <w:rsid w:val="21E80691"/>
    <w:rsid w:val="21FE49B9"/>
    <w:rsid w:val="221633CD"/>
    <w:rsid w:val="22282641"/>
    <w:rsid w:val="22375E89"/>
    <w:rsid w:val="22507B57"/>
    <w:rsid w:val="22575365"/>
    <w:rsid w:val="22675CE3"/>
    <w:rsid w:val="226A4FC0"/>
    <w:rsid w:val="22843C26"/>
    <w:rsid w:val="22865EB4"/>
    <w:rsid w:val="22A379E2"/>
    <w:rsid w:val="22F1436D"/>
    <w:rsid w:val="22F61C02"/>
    <w:rsid w:val="22FB7773"/>
    <w:rsid w:val="23037893"/>
    <w:rsid w:val="231E6FCD"/>
    <w:rsid w:val="232079E6"/>
    <w:rsid w:val="232D2755"/>
    <w:rsid w:val="233B436A"/>
    <w:rsid w:val="234260DD"/>
    <w:rsid w:val="2350145F"/>
    <w:rsid w:val="23582989"/>
    <w:rsid w:val="23880F5A"/>
    <w:rsid w:val="238B22E9"/>
    <w:rsid w:val="23D021ED"/>
    <w:rsid w:val="23FA5E73"/>
    <w:rsid w:val="23FB00B9"/>
    <w:rsid w:val="241F2D62"/>
    <w:rsid w:val="24400610"/>
    <w:rsid w:val="2453576A"/>
    <w:rsid w:val="24585DAF"/>
    <w:rsid w:val="245A195E"/>
    <w:rsid w:val="245E5A84"/>
    <w:rsid w:val="24757CA7"/>
    <w:rsid w:val="247E276B"/>
    <w:rsid w:val="248A6EF4"/>
    <w:rsid w:val="24B56271"/>
    <w:rsid w:val="24C40CBB"/>
    <w:rsid w:val="24D01E7B"/>
    <w:rsid w:val="25020CB4"/>
    <w:rsid w:val="25211ADD"/>
    <w:rsid w:val="254B1EBF"/>
    <w:rsid w:val="25775B90"/>
    <w:rsid w:val="25874EF0"/>
    <w:rsid w:val="25C8022F"/>
    <w:rsid w:val="25E052C2"/>
    <w:rsid w:val="25E7640D"/>
    <w:rsid w:val="25FA31CE"/>
    <w:rsid w:val="26157ACB"/>
    <w:rsid w:val="26456B25"/>
    <w:rsid w:val="2646251D"/>
    <w:rsid w:val="26671392"/>
    <w:rsid w:val="268C6E2B"/>
    <w:rsid w:val="26C456CE"/>
    <w:rsid w:val="26C6692B"/>
    <w:rsid w:val="26E17340"/>
    <w:rsid w:val="26E41937"/>
    <w:rsid w:val="272759DF"/>
    <w:rsid w:val="274B1DE7"/>
    <w:rsid w:val="274C2C9A"/>
    <w:rsid w:val="274F6F8D"/>
    <w:rsid w:val="275C666C"/>
    <w:rsid w:val="276428BB"/>
    <w:rsid w:val="276C5CFD"/>
    <w:rsid w:val="2781565D"/>
    <w:rsid w:val="27862E62"/>
    <w:rsid w:val="279D7D94"/>
    <w:rsid w:val="27B51034"/>
    <w:rsid w:val="27C72A0E"/>
    <w:rsid w:val="27CA6753"/>
    <w:rsid w:val="27D46BB5"/>
    <w:rsid w:val="27E53084"/>
    <w:rsid w:val="27F63A89"/>
    <w:rsid w:val="27FB6873"/>
    <w:rsid w:val="27FC3E54"/>
    <w:rsid w:val="28096C9A"/>
    <w:rsid w:val="281B2D6D"/>
    <w:rsid w:val="282F25E3"/>
    <w:rsid w:val="28322135"/>
    <w:rsid w:val="28382997"/>
    <w:rsid w:val="28387D27"/>
    <w:rsid w:val="283C5143"/>
    <w:rsid w:val="283F0ECA"/>
    <w:rsid w:val="284101E2"/>
    <w:rsid w:val="28451E91"/>
    <w:rsid w:val="28673056"/>
    <w:rsid w:val="28767E7F"/>
    <w:rsid w:val="288443E7"/>
    <w:rsid w:val="28965CAD"/>
    <w:rsid w:val="28A442F8"/>
    <w:rsid w:val="28AA4452"/>
    <w:rsid w:val="28DB46C8"/>
    <w:rsid w:val="28E15B8D"/>
    <w:rsid w:val="28EF1C0A"/>
    <w:rsid w:val="29187E9C"/>
    <w:rsid w:val="294C7E12"/>
    <w:rsid w:val="29604060"/>
    <w:rsid w:val="296D5007"/>
    <w:rsid w:val="29842A7C"/>
    <w:rsid w:val="29AF22CD"/>
    <w:rsid w:val="29D54D95"/>
    <w:rsid w:val="29D954B6"/>
    <w:rsid w:val="29E30561"/>
    <w:rsid w:val="29ED4157"/>
    <w:rsid w:val="29EF64B1"/>
    <w:rsid w:val="29F17728"/>
    <w:rsid w:val="2A006B81"/>
    <w:rsid w:val="2A0C6FF2"/>
    <w:rsid w:val="2A241710"/>
    <w:rsid w:val="2A2846E0"/>
    <w:rsid w:val="2A2B3C3C"/>
    <w:rsid w:val="2A3D51DB"/>
    <w:rsid w:val="2A3F64C9"/>
    <w:rsid w:val="2A55570C"/>
    <w:rsid w:val="2A773217"/>
    <w:rsid w:val="2A8D625F"/>
    <w:rsid w:val="2A944D06"/>
    <w:rsid w:val="2A9E41B4"/>
    <w:rsid w:val="2AA35544"/>
    <w:rsid w:val="2AA85221"/>
    <w:rsid w:val="2AC46379"/>
    <w:rsid w:val="2AE724EF"/>
    <w:rsid w:val="2B06702F"/>
    <w:rsid w:val="2B2F221D"/>
    <w:rsid w:val="2B4C0565"/>
    <w:rsid w:val="2B623CB8"/>
    <w:rsid w:val="2B7D50EF"/>
    <w:rsid w:val="2B971936"/>
    <w:rsid w:val="2BAD7F8F"/>
    <w:rsid w:val="2BC01D66"/>
    <w:rsid w:val="2BCC58FE"/>
    <w:rsid w:val="2BEF15E9"/>
    <w:rsid w:val="2C0525C8"/>
    <w:rsid w:val="2C061A70"/>
    <w:rsid w:val="2C1314A7"/>
    <w:rsid w:val="2C441851"/>
    <w:rsid w:val="2C493FB6"/>
    <w:rsid w:val="2C781E27"/>
    <w:rsid w:val="2C7A708F"/>
    <w:rsid w:val="2CAE0A32"/>
    <w:rsid w:val="2CE339FC"/>
    <w:rsid w:val="2CFB0A36"/>
    <w:rsid w:val="2D0E71F7"/>
    <w:rsid w:val="2D23171B"/>
    <w:rsid w:val="2D2D0A3B"/>
    <w:rsid w:val="2D373C3F"/>
    <w:rsid w:val="2D3C4843"/>
    <w:rsid w:val="2D6B5392"/>
    <w:rsid w:val="2D764A96"/>
    <w:rsid w:val="2D974F5D"/>
    <w:rsid w:val="2D9A77F3"/>
    <w:rsid w:val="2DB44212"/>
    <w:rsid w:val="2DBE5EF8"/>
    <w:rsid w:val="2DD73121"/>
    <w:rsid w:val="2DE858C0"/>
    <w:rsid w:val="2E0F48DF"/>
    <w:rsid w:val="2E137384"/>
    <w:rsid w:val="2E275318"/>
    <w:rsid w:val="2E3535AB"/>
    <w:rsid w:val="2E3D68D2"/>
    <w:rsid w:val="2E3E517D"/>
    <w:rsid w:val="2E496F7F"/>
    <w:rsid w:val="2E623621"/>
    <w:rsid w:val="2EA245EF"/>
    <w:rsid w:val="2EA4072A"/>
    <w:rsid w:val="2EF25817"/>
    <w:rsid w:val="2F0C3608"/>
    <w:rsid w:val="2F1C7B4C"/>
    <w:rsid w:val="2F236FA7"/>
    <w:rsid w:val="2F413C94"/>
    <w:rsid w:val="2F4C58A8"/>
    <w:rsid w:val="2F54279A"/>
    <w:rsid w:val="2F6B28DA"/>
    <w:rsid w:val="2F6B4AD8"/>
    <w:rsid w:val="2F727D99"/>
    <w:rsid w:val="2F7D6077"/>
    <w:rsid w:val="2F824EF1"/>
    <w:rsid w:val="2F8D61B7"/>
    <w:rsid w:val="2F9953C3"/>
    <w:rsid w:val="2FB839D4"/>
    <w:rsid w:val="2FCB0B43"/>
    <w:rsid w:val="30212CAB"/>
    <w:rsid w:val="3043645A"/>
    <w:rsid w:val="306D38DE"/>
    <w:rsid w:val="30714040"/>
    <w:rsid w:val="307A33FC"/>
    <w:rsid w:val="307C3A1B"/>
    <w:rsid w:val="30814BA1"/>
    <w:rsid w:val="308E1DB8"/>
    <w:rsid w:val="30A32381"/>
    <w:rsid w:val="30B10B05"/>
    <w:rsid w:val="30B457A3"/>
    <w:rsid w:val="30B86170"/>
    <w:rsid w:val="30C47F07"/>
    <w:rsid w:val="30DF0F7D"/>
    <w:rsid w:val="310426F5"/>
    <w:rsid w:val="31130176"/>
    <w:rsid w:val="312C7CBA"/>
    <w:rsid w:val="313970E9"/>
    <w:rsid w:val="31475E00"/>
    <w:rsid w:val="316572C8"/>
    <w:rsid w:val="31943137"/>
    <w:rsid w:val="319566E7"/>
    <w:rsid w:val="319719A4"/>
    <w:rsid w:val="31DB13D9"/>
    <w:rsid w:val="31E90309"/>
    <w:rsid w:val="31F7747F"/>
    <w:rsid w:val="321C20D1"/>
    <w:rsid w:val="323533CC"/>
    <w:rsid w:val="32555D4B"/>
    <w:rsid w:val="325767A5"/>
    <w:rsid w:val="326406B8"/>
    <w:rsid w:val="32645BCC"/>
    <w:rsid w:val="326D0332"/>
    <w:rsid w:val="326F459B"/>
    <w:rsid w:val="32805DAB"/>
    <w:rsid w:val="32935ADE"/>
    <w:rsid w:val="32AA07AD"/>
    <w:rsid w:val="32AE46C6"/>
    <w:rsid w:val="32D00649"/>
    <w:rsid w:val="32D4413C"/>
    <w:rsid w:val="32E41D2D"/>
    <w:rsid w:val="32E5510F"/>
    <w:rsid w:val="33057AC2"/>
    <w:rsid w:val="3306142B"/>
    <w:rsid w:val="330A5F56"/>
    <w:rsid w:val="33270787"/>
    <w:rsid w:val="332C460A"/>
    <w:rsid w:val="333126B6"/>
    <w:rsid w:val="33465DC0"/>
    <w:rsid w:val="335403F2"/>
    <w:rsid w:val="335A038E"/>
    <w:rsid w:val="335B4D4D"/>
    <w:rsid w:val="336367E5"/>
    <w:rsid w:val="33716F7B"/>
    <w:rsid w:val="337D5EB4"/>
    <w:rsid w:val="338036D5"/>
    <w:rsid w:val="33844202"/>
    <w:rsid w:val="33A23B6D"/>
    <w:rsid w:val="33BB353F"/>
    <w:rsid w:val="33C97816"/>
    <w:rsid w:val="34041CE3"/>
    <w:rsid w:val="340B44E4"/>
    <w:rsid w:val="341A64A8"/>
    <w:rsid w:val="3439458C"/>
    <w:rsid w:val="345F3543"/>
    <w:rsid w:val="346A2342"/>
    <w:rsid w:val="346C040E"/>
    <w:rsid w:val="34EC597A"/>
    <w:rsid w:val="35284044"/>
    <w:rsid w:val="35447564"/>
    <w:rsid w:val="35561690"/>
    <w:rsid w:val="3561073E"/>
    <w:rsid w:val="35747E49"/>
    <w:rsid w:val="357C1BDB"/>
    <w:rsid w:val="35973BE9"/>
    <w:rsid w:val="35C10D3F"/>
    <w:rsid w:val="35DC154A"/>
    <w:rsid w:val="36174A8D"/>
    <w:rsid w:val="363B3BA9"/>
    <w:rsid w:val="36476CA6"/>
    <w:rsid w:val="36561233"/>
    <w:rsid w:val="365F5F4A"/>
    <w:rsid w:val="3679323D"/>
    <w:rsid w:val="36793997"/>
    <w:rsid w:val="367B1B2A"/>
    <w:rsid w:val="36A209E6"/>
    <w:rsid w:val="36A42A62"/>
    <w:rsid w:val="36B454CA"/>
    <w:rsid w:val="36B80D32"/>
    <w:rsid w:val="36D614E5"/>
    <w:rsid w:val="36E76259"/>
    <w:rsid w:val="36FB77C2"/>
    <w:rsid w:val="36FD3E6E"/>
    <w:rsid w:val="37082330"/>
    <w:rsid w:val="37117AE8"/>
    <w:rsid w:val="371261F4"/>
    <w:rsid w:val="371B2276"/>
    <w:rsid w:val="37253E8A"/>
    <w:rsid w:val="372E3495"/>
    <w:rsid w:val="37515C8C"/>
    <w:rsid w:val="377A747B"/>
    <w:rsid w:val="37804D71"/>
    <w:rsid w:val="37910161"/>
    <w:rsid w:val="37AA40E3"/>
    <w:rsid w:val="37AF46DE"/>
    <w:rsid w:val="37CD006A"/>
    <w:rsid w:val="37DE0AE3"/>
    <w:rsid w:val="37E717AA"/>
    <w:rsid w:val="380F3A0E"/>
    <w:rsid w:val="383876B5"/>
    <w:rsid w:val="383C5BD0"/>
    <w:rsid w:val="384823C6"/>
    <w:rsid w:val="385109F7"/>
    <w:rsid w:val="38592F82"/>
    <w:rsid w:val="386D10AD"/>
    <w:rsid w:val="38CA15A7"/>
    <w:rsid w:val="38CC1C3C"/>
    <w:rsid w:val="38E060C0"/>
    <w:rsid w:val="390B0AC4"/>
    <w:rsid w:val="391D14E1"/>
    <w:rsid w:val="391E17DC"/>
    <w:rsid w:val="3925482E"/>
    <w:rsid w:val="39375595"/>
    <w:rsid w:val="39383699"/>
    <w:rsid w:val="39417295"/>
    <w:rsid w:val="39423DBA"/>
    <w:rsid w:val="395303D1"/>
    <w:rsid w:val="39604B1E"/>
    <w:rsid w:val="39641DB2"/>
    <w:rsid w:val="39673821"/>
    <w:rsid w:val="39751400"/>
    <w:rsid w:val="397B7B9A"/>
    <w:rsid w:val="399336E6"/>
    <w:rsid w:val="399723A8"/>
    <w:rsid w:val="39A1679C"/>
    <w:rsid w:val="39A40B21"/>
    <w:rsid w:val="39B01AB2"/>
    <w:rsid w:val="39B479BB"/>
    <w:rsid w:val="39C20ECF"/>
    <w:rsid w:val="39CD2AE4"/>
    <w:rsid w:val="39D215E2"/>
    <w:rsid w:val="39DB2D42"/>
    <w:rsid w:val="39EC0581"/>
    <w:rsid w:val="39EE4006"/>
    <w:rsid w:val="39F44F22"/>
    <w:rsid w:val="39F5243C"/>
    <w:rsid w:val="3A162C4A"/>
    <w:rsid w:val="3A1C769C"/>
    <w:rsid w:val="3A24631A"/>
    <w:rsid w:val="3A35598B"/>
    <w:rsid w:val="3A376A61"/>
    <w:rsid w:val="3A3E6EB7"/>
    <w:rsid w:val="3A4856A5"/>
    <w:rsid w:val="3A521F4F"/>
    <w:rsid w:val="3A535C51"/>
    <w:rsid w:val="3A541734"/>
    <w:rsid w:val="3AAE3F25"/>
    <w:rsid w:val="3ABC7501"/>
    <w:rsid w:val="3AEA1A5A"/>
    <w:rsid w:val="3AEE5713"/>
    <w:rsid w:val="3AF91414"/>
    <w:rsid w:val="3B015D70"/>
    <w:rsid w:val="3B227B92"/>
    <w:rsid w:val="3B376E8E"/>
    <w:rsid w:val="3B612EFA"/>
    <w:rsid w:val="3B830EB0"/>
    <w:rsid w:val="3B930B14"/>
    <w:rsid w:val="3BBD1E1E"/>
    <w:rsid w:val="3BBF7E64"/>
    <w:rsid w:val="3BE65E13"/>
    <w:rsid w:val="3C2051DD"/>
    <w:rsid w:val="3C302F1C"/>
    <w:rsid w:val="3C35270A"/>
    <w:rsid w:val="3C381157"/>
    <w:rsid w:val="3C3F01CE"/>
    <w:rsid w:val="3C402568"/>
    <w:rsid w:val="3C5502A8"/>
    <w:rsid w:val="3C60758E"/>
    <w:rsid w:val="3D033D39"/>
    <w:rsid w:val="3D143CBF"/>
    <w:rsid w:val="3D2E2050"/>
    <w:rsid w:val="3D341D20"/>
    <w:rsid w:val="3D43308F"/>
    <w:rsid w:val="3D63669F"/>
    <w:rsid w:val="3D695008"/>
    <w:rsid w:val="3D7F2D17"/>
    <w:rsid w:val="3D85696B"/>
    <w:rsid w:val="3D8F23FC"/>
    <w:rsid w:val="3D9C2BAB"/>
    <w:rsid w:val="3DA5249C"/>
    <w:rsid w:val="3DA532D8"/>
    <w:rsid w:val="3DBF04D2"/>
    <w:rsid w:val="3DC57B61"/>
    <w:rsid w:val="3DCB504E"/>
    <w:rsid w:val="3DDB3AD6"/>
    <w:rsid w:val="3E1D3BDB"/>
    <w:rsid w:val="3E300AC9"/>
    <w:rsid w:val="3E3862DF"/>
    <w:rsid w:val="3E3922C2"/>
    <w:rsid w:val="3E6D7D4D"/>
    <w:rsid w:val="3E841328"/>
    <w:rsid w:val="3E8F630D"/>
    <w:rsid w:val="3EC70AA8"/>
    <w:rsid w:val="3F0A317A"/>
    <w:rsid w:val="3F143EC6"/>
    <w:rsid w:val="3F207AFB"/>
    <w:rsid w:val="3F393203"/>
    <w:rsid w:val="3F4802E2"/>
    <w:rsid w:val="3F655C52"/>
    <w:rsid w:val="3F6F01A1"/>
    <w:rsid w:val="3F7649DD"/>
    <w:rsid w:val="3F7E0434"/>
    <w:rsid w:val="3F8C19C6"/>
    <w:rsid w:val="3F906D6F"/>
    <w:rsid w:val="3F92585E"/>
    <w:rsid w:val="3FA268F5"/>
    <w:rsid w:val="3FA379F9"/>
    <w:rsid w:val="3FA73B7E"/>
    <w:rsid w:val="3FEB24EB"/>
    <w:rsid w:val="3FEE64F1"/>
    <w:rsid w:val="40723006"/>
    <w:rsid w:val="40854466"/>
    <w:rsid w:val="40993B62"/>
    <w:rsid w:val="409B2885"/>
    <w:rsid w:val="40B839BB"/>
    <w:rsid w:val="40C13CCC"/>
    <w:rsid w:val="40C25D63"/>
    <w:rsid w:val="40CD3D02"/>
    <w:rsid w:val="40E9418A"/>
    <w:rsid w:val="40ED5F2F"/>
    <w:rsid w:val="40F11C73"/>
    <w:rsid w:val="40FF50E6"/>
    <w:rsid w:val="41003DB0"/>
    <w:rsid w:val="410445B6"/>
    <w:rsid w:val="410A32B1"/>
    <w:rsid w:val="412000ED"/>
    <w:rsid w:val="41333305"/>
    <w:rsid w:val="413D24F3"/>
    <w:rsid w:val="414C44C7"/>
    <w:rsid w:val="415C32CC"/>
    <w:rsid w:val="41630637"/>
    <w:rsid w:val="417B2B8A"/>
    <w:rsid w:val="419A206F"/>
    <w:rsid w:val="41A514F6"/>
    <w:rsid w:val="41B73B49"/>
    <w:rsid w:val="41DE379E"/>
    <w:rsid w:val="41E3244A"/>
    <w:rsid w:val="42172479"/>
    <w:rsid w:val="422C3C5C"/>
    <w:rsid w:val="422F44A2"/>
    <w:rsid w:val="42440BB4"/>
    <w:rsid w:val="426B4472"/>
    <w:rsid w:val="42707F68"/>
    <w:rsid w:val="42D836BD"/>
    <w:rsid w:val="42E71696"/>
    <w:rsid w:val="42F02361"/>
    <w:rsid w:val="42FC059C"/>
    <w:rsid w:val="433230F1"/>
    <w:rsid w:val="433B14DC"/>
    <w:rsid w:val="43453FEA"/>
    <w:rsid w:val="4348461A"/>
    <w:rsid w:val="43516679"/>
    <w:rsid w:val="435F13BB"/>
    <w:rsid w:val="437F4EFE"/>
    <w:rsid w:val="43C14C38"/>
    <w:rsid w:val="43D04F86"/>
    <w:rsid w:val="43E34D1F"/>
    <w:rsid w:val="4413593C"/>
    <w:rsid w:val="44342631"/>
    <w:rsid w:val="44440DC3"/>
    <w:rsid w:val="44450885"/>
    <w:rsid w:val="44551C28"/>
    <w:rsid w:val="44586B88"/>
    <w:rsid w:val="44792311"/>
    <w:rsid w:val="44835A23"/>
    <w:rsid w:val="44BE0970"/>
    <w:rsid w:val="44D16318"/>
    <w:rsid w:val="44E36014"/>
    <w:rsid w:val="44ED47AE"/>
    <w:rsid w:val="44FF1978"/>
    <w:rsid w:val="450279D1"/>
    <w:rsid w:val="450A27CF"/>
    <w:rsid w:val="45192C6B"/>
    <w:rsid w:val="451A40FF"/>
    <w:rsid w:val="451F3D9A"/>
    <w:rsid w:val="451F4D31"/>
    <w:rsid w:val="452364B9"/>
    <w:rsid w:val="45601474"/>
    <w:rsid w:val="45773005"/>
    <w:rsid w:val="457E1E54"/>
    <w:rsid w:val="45870371"/>
    <w:rsid w:val="45DD5C4D"/>
    <w:rsid w:val="45E97AC0"/>
    <w:rsid w:val="4607138F"/>
    <w:rsid w:val="4623311D"/>
    <w:rsid w:val="462C5BD6"/>
    <w:rsid w:val="464E62BD"/>
    <w:rsid w:val="465B146B"/>
    <w:rsid w:val="46924A56"/>
    <w:rsid w:val="46947B35"/>
    <w:rsid w:val="46A95404"/>
    <w:rsid w:val="46AA39BB"/>
    <w:rsid w:val="46B00704"/>
    <w:rsid w:val="46B035D2"/>
    <w:rsid w:val="46EC2637"/>
    <w:rsid w:val="47296646"/>
    <w:rsid w:val="47351EF9"/>
    <w:rsid w:val="474164E5"/>
    <w:rsid w:val="475A0C1C"/>
    <w:rsid w:val="479B3E8A"/>
    <w:rsid w:val="47A70D1B"/>
    <w:rsid w:val="47B34ABD"/>
    <w:rsid w:val="47BC2570"/>
    <w:rsid w:val="47CA4753"/>
    <w:rsid w:val="47CD2620"/>
    <w:rsid w:val="47CE5AF5"/>
    <w:rsid w:val="47D75B70"/>
    <w:rsid w:val="47D927EF"/>
    <w:rsid w:val="47E45496"/>
    <w:rsid w:val="480006EC"/>
    <w:rsid w:val="480810EC"/>
    <w:rsid w:val="48202ABA"/>
    <w:rsid w:val="48382DB9"/>
    <w:rsid w:val="48511EDE"/>
    <w:rsid w:val="485F16B3"/>
    <w:rsid w:val="488E5795"/>
    <w:rsid w:val="48903762"/>
    <w:rsid w:val="48981928"/>
    <w:rsid w:val="48AE6B8F"/>
    <w:rsid w:val="48BA68B5"/>
    <w:rsid w:val="48C7347A"/>
    <w:rsid w:val="48CB60F9"/>
    <w:rsid w:val="48D10FCA"/>
    <w:rsid w:val="48DA1B6F"/>
    <w:rsid w:val="490A66D1"/>
    <w:rsid w:val="491D1B81"/>
    <w:rsid w:val="49225BF6"/>
    <w:rsid w:val="49307A8A"/>
    <w:rsid w:val="4934502A"/>
    <w:rsid w:val="4945429E"/>
    <w:rsid w:val="494E5BD4"/>
    <w:rsid w:val="49AB5828"/>
    <w:rsid w:val="49CE22EE"/>
    <w:rsid w:val="49D83238"/>
    <w:rsid w:val="49E81642"/>
    <w:rsid w:val="4A080F81"/>
    <w:rsid w:val="4A115988"/>
    <w:rsid w:val="4A1870B9"/>
    <w:rsid w:val="4A23362D"/>
    <w:rsid w:val="4A543DB4"/>
    <w:rsid w:val="4A650438"/>
    <w:rsid w:val="4A81377E"/>
    <w:rsid w:val="4A8B7EB4"/>
    <w:rsid w:val="4A8C77D9"/>
    <w:rsid w:val="4A8D5AF4"/>
    <w:rsid w:val="4A903C66"/>
    <w:rsid w:val="4A955EEB"/>
    <w:rsid w:val="4A995804"/>
    <w:rsid w:val="4A9D6548"/>
    <w:rsid w:val="4A9F45FE"/>
    <w:rsid w:val="4AA0721C"/>
    <w:rsid w:val="4AA517E2"/>
    <w:rsid w:val="4AAE2146"/>
    <w:rsid w:val="4AB04423"/>
    <w:rsid w:val="4AB96E12"/>
    <w:rsid w:val="4ABC66E3"/>
    <w:rsid w:val="4AE977CA"/>
    <w:rsid w:val="4B007BF5"/>
    <w:rsid w:val="4B0B13AD"/>
    <w:rsid w:val="4B1F10F1"/>
    <w:rsid w:val="4B4874DD"/>
    <w:rsid w:val="4B4F0B9C"/>
    <w:rsid w:val="4B7D594A"/>
    <w:rsid w:val="4B7F1D86"/>
    <w:rsid w:val="4BA521AC"/>
    <w:rsid w:val="4BC465DD"/>
    <w:rsid w:val="4BE14332"/>
    <w:rsid w:val="4BF64C40"/>
    <w:rsid w:val="4BF93EEF"/>
    <w:rsid w:val="4C247C86"/>
    <w:rsid w:val="4C3F5EFC"/>
    <w:rsid w:val="4C475E5A"/>
    <w:rsid w:val="4C5A6C4A"/>
    <w:rsid w:val="4C675DE6"/>
    <w:rsid w:val="4C7E71FC"/>
    <w:rsid w:val="4C8C12EC"/>
    <w:rsid w:val="4C8C27A2"/>
    <w:rsid w:val="4C914D92"/>
    <w:rsid w:val="4C987C3A"/>
    <w:rsid w:val="4CAC0AD9"/>
    <w:rsid w:val="4CC56314"/>
    <w:rsid w:val="4CEB052A"/>
    <w:rsid w:val="4CF06F77"/>
    <w:rsid w:val="4CF73337"/>
    <w:rsid w:val="4D23788D"/>
    <w:rsid w:val="4D344E5B"/>
    <w:rsid w:val="4D63664B"/>
    <w:rsid w:val="4D8F4D6C"/>
    <w:rsid w:val="4DD252B5"/>
    <w:rsid w:val="4DD50FAD"/>
    <w:rsid w:val="4DD96CF3"/>
    <w:rsid w:val="4DEC4CE8"/>
    <w:rsid w:val="4DFD4F82"/>
    <w:rsid w:val="4E197388"/>
    <w:rsid w:val="4E2F702F"/>
    <w:rsid w:val="4E3C6544"/>
    <w:rsid w:val="4E3E4DA8"/>
    <w:rsid w:val="4E4243F2"/>
    <w:rsid w:val="4E4636B9"/>
    <w:rsid w:val="4E94449A"/>
    <w:rsid w:val="4E963E7C"/>
    <w:rsid w:val="4EAA1A30"/>
    <w:rsid w:val="4EB03F94"/>
    <w:rsid w:val="4EB92322"/>
    <w:rsid w:val="4EC353D3"/>
    <w:rsid w:val="4F2210FE"/>
    <w:rsid w:val="4F2F1806"/>
    <w:rsid w:val="4F3C7DDE"/>
    <w:rsid w:val="4F5547C0"/>
    <w:rsid w:val="4FA252B3"/>
    <w:rsid w:val="4FB56C64"/>
    <w:rsid w:val="4FB6474D"/>
    <w:rsid w:val="4FB919A4"/>
    <w:rsid w:val="4FB92CDA"/>
    <w:rsid w:val="4FB95D1D"/>
    <w:rsid w:val="50205A52"/>
    <w:rsid w:val="50211405"/>
    <w:rsid w:val="50493C97"/>
    <w:rsid w:val="504C4731"/>
    <w:rsid w:val="50596663"/>
    <w:rsid w:val="506E285C"/>
    <w:rsid w:val="50AD2009"/>
    <w:rsid w:val="50C90054"/>
    <w:rsid w:val="50FA5BB2"/>
    <w:rsid w:val="50FF7E8C"/>
    <w:rsid w:val="51045D9B"/>
    <w:rsid w:val="511A741E"/>
    <w:rsid w:val="512330E3"/>
    <w:rsid w:val="51293F6D"/>
    <w:rsid w:val="512C3C09"/>
    <w:rsid w:val="514B6A02"/>
    <w:rsid w:val="51593E8B"/>
    <w:rsid w:val="518B37FF"/>
    <w:rsid w:val="518D1A71"/>
    <w:rsid w:val="51C504A9"/>
    <w:rsid w:val="51D4352C"/>
    <w:rsid w:val="51E80D70"/>
    <w:rsid w:val="51F56008"/>
    <w:rsid w:val="520A22F7"/>
    <w:rsid w:val="522265CC"/>
    <w:rsid w:val="52233583"/>
    <w:rsid w:val="5226253D"/>
    <w:rsid w:val="52385CF7"/>
    <w:rsid w:val="52447F9D"/>
    <w:rsid w:val="5253261E"/>
    <w:rsid w:val="5294746E"/>
    <w:rsid w:val="52965C40"/>
    <w:rsid w:val="529B69FD"/>
    <w:rsid w:val="52A41123"/>
    <w:rsid w:val="52B17417"/>
    <w:rsid w:val="52B23CBC"/>
    <w:rsid w:val="52B51631"/>
    <w:rsid w:val="52E823F7"/>
    <w:rsid w:val="52FC2276"/>
    <w:rsid w:val="53330A95"/>
    <w:rsid w:val="535A6308"/>
    <w:rsid w:val="535B15E0"/>
    <w:rsid w:val="53792400"/>
    <w:rsid w:val="53920DAC"/>
    <w:rsid w:val="539677B2"/>
    <w:rsid w:val="539A5A80"/>
    <w:rsid w:val="539C5A6F"/>
    <w:rsid w:val="53B0035C"/>
    <w:rsid w:val="53C071B2"/>
    <w:rsid w:val="53C55208"/>
    <w:rsid w:val="53D2058F"/>
    <w:rsid w:val="540767BB"/>
    <w:rsid w:val="54370568"/>
    <w:rsid w:val="54393799"/>
    <w:rsid w:val="5445003E"/>
    <w:rsid w:val="544E1A56"/>
    <w:rsid w:val="547C0137"/>
    <w:rsid w:val="549E4893"/>
    <w:rsid w:val="54BE2D49"/>
    <w:rsid w:val="54C5397E"/>
    <w:rsid w:val="54D21738"/>
    <w:rsid w:val="54FA573B"/>
    <w:rsid w:val="55032C8E"/>
    <w:rsid w:val="552072B9"/>
    <w:rsid w:val="5522237F"/>
    <w:rsid w:val="554B2640"/>
    <w:rsid w:val="559F5609"/>
    <w:rsid w:val="55C928E5"/>
    <w:rsid w:val="55D87E3A"/>
    <w:rsid w:val="55DE37AB"/>
    <w:rsid w:val="55DF6075"/>
    <w:rsid w:val="55F03611"/>
    <w:rsid w:val="55FB06E7"/>
    <w:rsid w:val="56221101"/>
    <w:rsid w:val="56415485"/>
    <w:rsid w:val="564D05B0"/>
    <w:rsid w:val="568B4B9B"/>
    <w:rsid w:val="56BA71BA"/>
    <w:rsid w:val="56CF00B0"/>
    <w:rsid w:val="56DE24D1"/>
    <w:rsid w:val="56E80E23"/>
    <w:rsid w:val="56F036C3"/>
    <w:rsid w:val="56FA762A"/>
    <w:rsid w:val="570C3604"/>
    <w:rsid w:val="570D6BD8"/>
    <w:rsid w:val="575B6229"/>
    <w:rsid w:val="57816951"/>
    <w:rsid w:val="57843CB1"/>
    <w:rsid w:val="57882F2B"/>
    <w:rsid w:val="57905DB9"/>
    <w:rsid w:val="57982888"/>
    <w:rsid w:val="579B66AA"/>
    <w:rsid w:val="57A97D65"/>
    <w:rsid w:val="57B60A18"/>
    <w:rsid w:val="57BD0E60"/>
    <w:rsid w:val="57D21373"/>
    <w:rsid w:val="5801571C"/>
    <w:rsid w:val="5814471C"/>
    <w:rsid w:val="58213A79"/>
    <w:rsid w:val="583D1D79"/>
    <w:rsid w:val="584F20C0"/>
    <w:rsid w:val="58650CF6"/>
    <w:rsid w:val="58B124DF"/>
    <w:rsid w:val="58B93DB3"/>
    <w:rsid w:val="58BA5AC7"/>
    <w:rsid w:val="58CD5BE5"/>
    <w:rsid w:val="58CF0F65"/>
    <w:rsid w:val="58D01FAD"/>
    <w:rsid w:val="58E277F5"/>
    <w:rsid w:val="590005BE"/>
    <w:rsid w:val="59202A43"/>
    <w:rsid w:val="59284BD5"/>
    <w:rsid w:val="5941447A"/>
    <w:rsid w:val="5949786A"/>
    <w:rsid w:val="594F691E"/>
    <w:rsid w:val="59510A83"/>
    <w:rsid w:val="595531BA"/>
    <w:rsid w:val="59636883"/>
    <w:rsid w:val="598D69A4"/>
    <w:rsid w:val="599F1F14"/>
    <w:rsid w:val="59D16021"/>
    <w:rsid w:val="59FD00B1"/>
    <w:rsid w:val="5A1B5F35"/>
    <w:rsid w:val="5A1B7FE4"/>
    <w:rsid w:val="5A2023C1"/>
    <w:rsid w:val="5A2E6111"/>
    <w:rsid w:val="5A320459"/>
    <w:rsid w:val="5A4C4641"/>
    <w:rsid w:val="5A530E40"/>
    <w:rsid w:val="5A6B2CE6"/>
    <w:rsid w:val="5A71376D"/>
    <w:rsid w:val="5A824562"/>
    <w:rsid w:val="5A94302F"/>
    <w:rsid w:val="5A9735EB"/>
    <w:rsid w:val="5ABE4E0D"/>
    <w:rsid w:val="5AE004E5"/>
    <w:rsid w:val="5AEC0B7E"/>
    <w:rsid w:val="5B387346"/>
    <w:rsid w:val="5B3971E9"/>
    <w:rsid w:val="5B985839"/>
    <w:rsid w:val="5BBB2FA0"/>
    <w:rsid w:val="5BCA784F"/>
    <w:rsid w:val="5BE10404"/>
    <w:rsid w:val="5BF1296B"/>
    <w:rsid w:val="5C0B776E"/>
    <w:rsid w:val="5C0C5C12"/>
    <w:rsid w:val="5C6F0B27"/>
    <w:rsid w:val="5CAD7A90"/>
    <w:rsid w:val="5CD50488"/>
    <w:rsid w:val="5CD841ED"/>
    <w:rsid w:val="5D032927"/>
    <w:rsid w:val="5D1A6634"/>
    <w:rsid w:val="5D494E68"/>
    <w:rsid w:val="5D4B0E42"/>
    <w:rsid w:val="5D651457"/>
    <w:rsid w:val="5D695B4F"/>
    <w:rsid w:val="5D724260"/>
    <w:rsid w:val="5D81304D"/>
    <w:rsid w:val="5D9E33C5"/>
    <w:rsid w:val="5DA12117"/>
    <w:rsid w:val="5DA311AC"/>
    <w:rsid w:val="5DAF2A40"/>
    <w:rsid w:val="5DB354B9"/>
    <w:rsid w:val="5DBC1ADE"/>
    <w:rsid w:val="5DCB199A"/>
    <w:rsid w:val="5DFC4B6E"/>
    <w:rsid w:val="5E1F1361"/>
    <w:rsid w:val="5E291F6E"/>
    <w:rsid w:val="5E3C4973"/>
    <w:rsid w:val="5E3F1A16"/>
    <w:rsid w:val="5E461D75"/>
    <w:rsid w:val="5E4D1C45"/>
    <w:rsid w:val="5E5F7DB7"/>
    <w:rsid w:val="5E653D0F"/>
    <w:rsid w:val="5EAB0112"/>
    <w:rsid w:val="5EAB7246"/>
    <w:rsid w:val="5EBA644B"/>
    <w:rsid w:val="5EBF3A24"/>
    <w:rsid w:val="5ED93E0D"/>
    <w:rsid w:val="5EE01058"/>
    <w:rsid w:val="5EE30B2E"/>
    <w:rsid w:val="5F0B0AFE"/>
    <w:rsid w:val="5F0C35F2"/>
    <w:rsid w:val="5F1A6ABC"/>
    <w:rsid w:val="5F8623A3"/>
    <w:rsid w:val="5F9D692E"/>
    <w:rsid w:val="5FA05EC8"/>
    <w:rsid w:val="5FAC6D6C"/>
    <w:rsid w:val="5FAD0307"/>
    <w:rsid w:val="5FE771E7"/>
    <w:rsid w:val="5FEA0B84"/>
    <w:rsid w:val="5FF2678A"/>
    <w:rsid w:val="5FFF2404"/>
    <w:rsid w:val="600D4872"/>
    <w:rsid w:val="60123D99"/>
    <w:rsid w:val="603E7BF6"/>
    <w:rsid w:val="60443571"/>
    <w:rsid w:val="6060660E"/>
    <w:rsid w:val="607C6380"/>
    <w:rsid w:val="60873132"/>
    <w:rsid w:val="60897103"/>
    <w:rsid w:val="6091113C"/>
    <w:rsid w:val="60A15C98"/>
    <w:rsid w:val="60D54861"/>
    <w:rsid w:val="60E73D51"/>
    <w:rsid w:val="61010E58"/>
    <w:rsid w:val="610C5688"/>
    <w:rsid w:val="610F55B0"/>
    <w:rsid w:val="6116575D"/>
    <w:rsid w:val="613F18D8"/>
    <w:rsid w:val="614D2DEB"/>
    <w:rsid w:val="61621147"/>
    <w:rsid w:val="61644155"/>
    <w:rsid w:val="61776318"/>
    <w:rsid w:val="61913795"/>
    <w:rsid w:val="619501A8"/>
    <w:rsid w:val="61C34F89"/>
    <w:rsid w:val="61CD0301"/>
    <w:rsid w:val="61CF2728"/>
    <w:rsid w:val="61D91B96"/>
    <w:rsid w:val="61DA2E9A"/>
    <w:rsid w:val="61E964A6"/>
    <w:rsid w:val="61FE4354"/>
    <w:rsid w:val="61FE6552"/>
    <w:rsid w:val="62084457"/>
    <w:rsid w:val="622368A5"/>
    <w:rsid w:val="6236054E"/>
    <w:rsid w:val="623F10A0"/>
    <w:rsid w:val="62774F17"/>
    <w:rsid w:val="62801CDE"/>
    <w:rsid w:val="62F56060"/>
    <w:rsid w:val="63136D6F"/>
    <w:rsid w:val="634A3AF8"/>
    <w:rsid w:val="6359571B"/>
    <w:rsid w:val="637D2916"/>
    <w:rsid w:val="6388493C"/>
    <w:rsid w:val="63AC2D96"/>
    <w:rsid w:val="63B2141C"/>
    <w:rsid w:val="63BA20AB"/>
    <w:rsid w:val="63DB72ED"/>
    <w:rsid w:val="640B731B"/>
    <w:rsid w:val="642C2F41"/>
    <w:rsid w:val="64372A7F"/>
    <w:rsid w:val="64433D7C"/>
    <w:rsid w:val="64480A16"/>
    <w:rsid w:val="64521AAD"/>
    <w:rsid w:val="64735173"/>
    <w:rsid w:val="649B244D"/>
    <w:rsid w:val="64AE58AF"/>
    <w:rsid w:val="64CA4241"/>
    <w:rsid w:val="64CB567E"/>
    <w:rsid w:val="64D53AFD"/>
    <w:rsid w:val="64DD6D88"/>
    <w:rsid w:val="64F040FC"/>
    <w:rsid w:val="650F29DD"/>
    <w:rsid w:val="65150451"/>
    <w:rsid w:val="654C1061"/>
    <w:rsid w:val="6577344F"/>
    <w:rsid w:val="657E0A92"/>
    <w:rsid w:val="657F40AF"/>
    <w:rsid w:val="65BE38BE"/>
    <w:rsid w:val="65CC6636"/>
    <w:rsid w:val="65E90E56"/>
    <w:rsid w:val="65FF44E4"/>
    <w:rsid w:val="660F2580"/>
    <w:rsid w:val="6618540E"/>
    <w:rsid w:val="66227899"/>
    <w:rsid w:val="66302AB4"/>
    <w:rsid w:val="66376B27"/>
    <w:rsid w:val="663A7A43"/>
    <w:rsid w:val="664A2F9A"/>
    <w:rsid w:val="66546D55"/>
    <w:rsid w:val="667E0F04"/>
    <w:rsid w:val="66B96066"/>
    <w:rsid w:val="66D97A4A"/>
    <w:rsid w:val="66F312A4"/>
    <w:rsid w:val="66F97F7F"/>
    <w:rsid w:val="66FF0E88"/>
    <w:rsid w:val="66FF17BF"/>
    <w:rsid w:val="672274EB"/>
    <w:rsid w:val="674B385B"/>
    <w:rsid w:val="67575954"/>
    <w:rsid w:val="67627BBF"/>
    <w:rsid w:val="676B6FB9"/>
    <w:rsid w:val="678C4F6F"/>
    <w:rsid w:val="68210D1C"/>
    <w:rsid w:val="683F67FA"/>
    <w:rsid w:val="68572758"/>
    <w:rsid w:val="68616DD0"/>
    <w:rsid w:val="687B4BF8"/>
    <w:rsid w:val="688E33B0"/>
    <w:rsid w:val="68BA215E"/>
    <w:rsid w:val="68CC6518"/>
    <w:rsid w:val="68E92BD2"/>
    <w:rsid w:val="68EC3F55"/>
    <w:rsid w:val="68FD3ECC"/>
    <w:rsid w:val="69074555"/>
    <w:rsid w:val="691602F4"/>
    <w:rsid w:val="692A4BDD"/>
    <w:rsid w:val="696F6695"/>
    <w:rsid w:val="69717BDD"/>
    <w:rsid w:val="6972190C"/>
    <w:rsid w:val="69763B96"/>
    <w:rsid w:val="6986257B"/>
    <w:rsid w:val="698E07D2"/>
    <w:rsid w:val="69A60FD2"/>
    <w:rsid w:val="69A97B64"/>
    <w:rsid w:val="69B5367B"/>
    <w:rsid w:val="69C60B52"/>
    <w:rsid w:val="69C7112D"/>
    <w:rsid w:val="69C900B5"/>
    <w:rsid w:val="69CA792B"/>
    <w:rsid w:val="6A2007AB"/>
    <w:rsid w:val="6A2555D5"/>
    <w:rsid w:val="6A265492"/>
    <w:rsid w:val="6A500310"/>
    <w:rsid w:val="6A5F1B86"/>
    <w:rsid w:val="6A894958"/>
    <w:rsid w:val="6A9763AD"/>
    <w:rsid w:val="6A9E5934"/>
    <w:rsid w:val="6AD04848"/>
    <w:rsid w:val="6B025130"/>
    <w:rsid w:val="6B1732C2"/>
    <w:rsid w:val="6B223851"/>
    <w:rsid w:val="6B45613A"/>
    <w:rsid w:val="6B6D785F"/>
    <w:rsid w:val="6B6F6FD8"/>
    <w:rsid w:val="6B814EF0"/>
    <w:rsid w:val="6B93601A"/>
    <w:rsid w:val="6BBD485F"/>
    <w:rsid w:val="6BC93666"/>
    <w:rsid w:val="6BD8367F"/>
    <w:rsid w:val="6C0E271F"/>
    <w:rsid w:val="6C2B5723"/>
    <w:rsid w:val="6C573920"/>
    <w:rsid w:val="6C6B54E9"/>
    <w:rsid w:val="6C6E2482"/>
    <w:rsid w:val="6CB910D1"/>
    <w:rsid w:val="6CE17F5D"/>
    <w:rsid w:val="6CE931BD"/>
    <w:rsid w:val="6CF72790"/>
    <w:rsid w:val="6D017D15"/>
    <w:rsid w:val="6D064FAB"/>
    <w:rsid w:val="6D0A2906"/>
    <w:rsid w:val="6D0F36B0"/>
    <w:rsid w:val="6D16355A"/>
    <w:rsid w:val="6D185680"/>
    <w:rsid w:val="6D224F8F"/>
    <w:rsid w:val="6D5A439F"/>
    <w:rsid w:val="6D637604"/>
    <w:rsid w:val="6D675F92"/>
    <w:rsid w:val="6D8832A0"/>
    <w:rsid w:val="6D932351"/>
    <w:rsid w:val="6D9B2FE1"/>
    <w:rsid w:val="6D9D7A3B"/>
    <w:rsid w:val="6DA21E39"/>
    <w:rsid w:val="6DAD1EE3"/>
    <w:rsid w:val="6DF87AF7"/>
    <w:rsid w:val="6E221570"/>
    <w:rsid w:val="6E322463"/>
    <w:rsid w:val="6E327440"/>
    <w:rsid w:val="6E671E41"/>
    <w:rsid w:val="6E6F0CAD"/>
    <w:rsid w:val="6E86055B"/>
    <w:rsid w:val="6EAE3567"/>
    <w:rsid w:val="6ECE20D9"/>
    <w:rsid w:val="6EE75FCC"/>
    <w:rsid w:val="6EED505A"/>
    <w:rsid w:val="6F14284D"/>
    <w:rsid w:val="6F287019"/>
    <w:rsid w:val="6F4A4DCF"/>
    <w:rsid w:val="6F6451BC"/>
    <w:rsid w:val="6F763902"/>
    <w:rsid w:val="6F913E5A"/>
    <w:rsid w:val="6F9B5FA9"/>
    <w:rsid w:val="6FA974BD"/>
    <w:rsid w:val="6FBA2FDB"/>
    <w:rsid w:val="6FC10D06"/>
    <w:rsid w:val="6FDE1813"/>
    <w:rsid w:val="6FEC151B"/>
    <w:rsid w:val="6FF3443A"/>
    <w:rsid w:val="6FFB26B8"/>
    <w:rsid w:val="70026C53"/>
    <w:rsid w:val="70043715"/>
    <w:rsid w:val="700707AA"/>
    <w:rsid w:val="702418DD"/>
    <w:rsid w:val="7028360F"/>
    <w:rsid w:val="702E0F7F"/>
    <w:rsid w:val="70336D62"/>
    <w:rsid w:val="7041003C"/>
    <w:rsid w:val="70742480"/>
    <w:rsid w:val="708947C9"/>
    <w:rsid w:val="70B61B38"/>
    <w:rsid w:val="70D70431"/>
    <w:rsid w:val="70DE5FBE"/>
    <w:rsid w:val="70F615E8"/>
    <w:rsid w:val="711C69C2"/>
    <w:rsid w:val="71206969"/>
    <w:rsid w:val="71382039"/>
    <w:rsid w:val="714814E8"/>
    <w:rsid w:val="715D0FF5"/>
    <w:rsid w:val="716126E1"/>
    <w:rsid w:val="71653487"/>
    <w:rsid w:val="717C2845"/>
    <w:rsid w:val="71C54335"/>
    <w:rsid w:val="71C71F36"/>
    <w:rsid w:val="71FC6A0D"/>
    <w:rsid w:val="72085BC5"/>
    <w:rsid w:val="7209339D"/>
    <w:rsid w:val="7238434D"/>
    <w:rsid w:val="724A458E"/>
    <w:rsid w:val="72792FAE"/>
    <w:rsid w:val="727B05E0"/>
    <w:rsid w:val="728E5C38"/>
    <w:rsid w:val="72997B90"/>
    <w:rsid w:val="729B306F"/>
    <w:rsid w:val="72A2036E"/>
    <w:rsid w:val="72BD48CD"/>
    <w:rsid w:val="72BE0B7E"/>
    <w:rsid w:val="72D45C67"/>
    <w:rsid w:val="72EF6570"/>
    <w:rsid w:val="73063FB9"/>
    <w:rsid w:val="73324BC6"/>
    <w:rsid w:val="73335B3A"/>
    <w:rsid w:val="733748DF"/>
    <w:rsid w:val="735D630A"/>
    <w:rsid w:val="738A322E"/>
    <w:rsid w:val="738B7338"/>
    <w:rsid w:val="73A23003"/>
    <w:rsid w:val="73AF515A"/>
    <w:rsid w:val="73B260DF"/>
    <w:rsid w:val="73BD6B2B"/>
    <w:rsid w:val="73EF00BF"/>
    <w:rsid w:val="742A4587"/>
    <w:rsid w:val="743243A1"/>
    <w:rsid w:val="743B414C"/>
    <w:rsid w:val="74487C30"/>
    <w:rsid w:val="744D4A02"/>
    <w:rsid w:val="7453009C"/>
    <w:rsid w:val="746C1E22"/>
    <w:rsid w:val="747C1E1E"/>
    <w:rsid w:val="748A7DE8"/>
    <w:rsid w:val="748C3843"/>
    <w:rsid w:val="74B12641"/>
    <w:rsid w:val="74CB42C6"/>
    <w:rsid w:val="74CF3033"/>
    <w:rsid w:val="74DA5B41"/>
    <w:rsid w:val="74E41CD4"/>
    <w:rsid w:val="74FD05BA"/>
    <w:rsid w:val="75095F85"/>
    <w:rsid w:val="751B7111"/>
    <w:rsid w:val="753B61C6"/>
    <w:rsid w:val="75815EBB"/>
    <w:rsid w:val="75C32EF3"/>
    <w:rsid w:val="75CC7A53"/>
    <w:rsid w:val="75D40996"/>
    <w:rsid w:val="75EC1760"/>
    <w:rsid w:val="7605630F"/>
    <w:rsid w:val="762567A9"/>
    <w:rsid w:val="762C1490"/>
    <w:rsid w:val="76312800"/>
    <w:rsid w:val="763856E2"/>
    <w:rsid w:val="763A336F"/>
    <w:rsid w:val="764806E4"/>
    <w:rsid w:val="7649701C"/>
    <w:rsid w:val="764C2C8C"/>
    <w:rsid w:val="76AC73EA"/>
    <w:rsid w:val="76B344CD"/>
    <w:rsid w:val="76B61AF4"/>
    <w:rsid w:val="76C30EE4"/>
    <w:rsid w:val="76D67F05"/>
    <w:rsid w:val="76DD2C43"/>
    <w:rsid w:val="76E71A00"/>
    <w:rsid w:val="76F8372F"/>
    <w:rsid w:val="76F93BEC"/>
    <w:rsid w:val="76F96FBC"/>
    <w:rsid w:val="76FB6E3D"/>
    <w:rsid w:val="77267688"/>
    <w:rsid w:val="773433A0"/>
    <w:rsid w:val="77596B20"/>
    <w:rsid w:val="77691335"/>
    <w:rsid w:val="77746506"/>
    <w:rsid w:val="7787445A"/>
    <w:rsid w:val="778C51A0"/>
    <w:rsid w:val="77D8444A"/>
    <w:rsid w:val="780472F2"/>
    <w:rsid w:val="78085679"/>
    <w:rsid w:val="7816121E"/>
    <w:rsid w:val="781B24FE"/>
    <w:rsid w:val="782E29F2"/>
    <w:rsid w:val="784A1D68"/>
    <w:rsid w:val="78564BB1"/>
    <w:rsid w:val="786A257B"/>
    <w:rsid w:val="78D072B7"/>
    <w:rsid w:val="78E73168"/>
    <w:rsid w:val="78E83518"/>
    <w:rsid w:val="78EC4760"/>
    <w:rsid w:val="78F53783"/>
    <w:rsid w:val="78F558EA"/>
    <w:rsid w:val="78FD1818"/>
    <w:rsid w:val="790E68AB"/>
    <w:rsid w:val="793E654E"/>
    <w:rsid w:val="79615030"/>
    <w:rsid w:val="797C7BB2"/>
    <w:rsid w:val="79911640"/>
    <w:rsid w:val="79D029DC"/>
    <w:rsid w:val="79DD144C"/>
    <w:rsid w:val="79E1243D"/>
    <w:rsid w:val="79E63E06"/>
    <w:rsid w:val="79F65CC5"/>
    <w:rsid w:val="7A0348D0"/>
    <w:rsid w:val="7A36717E"/>
    <w:rsid w:val="7A5D1A50"/>
    <w:rsid w:val="7A864067"/>
    <w:rsid w:val="7A97191E"/>
    <w:rsid w:val="7A987CCB"/>
    <w:rsid w:val="7AB22440"/>
    <w:rsid w:val="7ACC771F"/>
    <w:rsid w:val="7ADA02B9"/>
    <w:rsid w:val="7AE85326"/>
    <w:rsid w:val="7AFC3535"/>
    <w:rsid w:val="7B116983"/>
    <w:rsid w:val="7B29241E"/>
    <w:rsid w:val="7B5451CF"/>
    <w:rsid w:val="7B5600CE"/>
    <w:rsid w:val="7B593E26"/>
    <w:rsid w:val="7B5C3B71"/>
    <w:rsid w:val="7B625A7B"/>
    <w:rsid w:val="7B700614"/>
    <w:rsid w:val="7B7377A5"/>
    <w:rsid w:val="7B89756D"/>
    <w:rsid w:val="7BBB0FCF"/>
    <w:rsid w:val="7BC042A8"/>
    <w:rsid w:val="7BD45065"/>
    <w:rsid w:val="7BFA4CF4"/>
    <w:rsid w:val="7BFE394A"/>
    <w:rsid w:val="7C052253"/>
    <w:rsid w:val="7C2072D5"/>
    <w:rsid w:val="7C30749B"/>
    <w:rsid w:val="7C377D7A"/>
    <w:rsid w:val="7C39383B"/>
    <w:rsid w:val="7C4000E9"/>
    <w:rsid w:val="7C71489B"/>
    <w:rsid w:val="7C896A81"/>
    <w:rsid w:val="7C8A7A0C"/>
    <w:rsid w:val="7C9762AC"/>
    <w:rsid w:val="7C9B4E73"/>
    <w:rsid w:val="7CB42A60"/>
    <w:rsid w:val="7CE1176F"/>
    <w:rsid w:val="7CEB0BB5"/>
    <w:rsid w:val="7CF264F8"/>
    <w:rsid w:val="7D2E05A9"/>
    <w:rsid w:val="7D393763"/>
    <w:rsid w:val="7D740759"/>
    <w:rsid w:val="7D882859"/>
    <w:rsid w:val="7D8C53C3"/>
    <w:rsid w:val="7D9B4E14"/>
    <w:rsid w:val="7DB143A6"/>
    <w:rsid w:val="7DB86A52"/>
    <w:rsid w:val="7DC36EE3"/>
    <w:rsid w:val="7DCD5EF4"/>
    <w:rsid w:val="7DCF0EA1"/>
    <w:rsid w:val="7DE022C7"/>
    <w:rsid w:val="7DE14A82"/>
    <w:rsid w:val="7DEC5124"/>
    <w:rsid w:val="7DF574B9"/>
    <w:rsid w:val="7E254995"/>
    <w:rsid w:val="7E395B3E"/>
    <w:rsid w:val="7E4471C1"/>
    <w:rsid w:val="7E7519C5"/>
    <w:rsid w:val="7E94444F"/>
    <w:rsid w:val="7EA342CC"/>
    <w:rsid w:val="7EB11E15"/>
    <w:rsid w:val="7EC21C85"/>
    <w:rsid w:val="7ED05721"/>
    <w:rsid w:val="7EF20A1A"/>
    <w:rsid w:val="7EF8435D"/>
    <w:rsid w:val="7F1C47EC"/>
    <w:rsid w:val="7F233380"/>
    <w:rsid w:val="7F3543C6"/>
    <w:rsid w:val="7F473249"/>
    <w:rsid w:val="7F4F0680"/>
    <w:rsid w:val="7F530554"/>
    <w:rsid w:val="7F6A7194"/>
    <w:rsid w:val="7F743A1B"/>
    <w:rsid w:val="7F7A7004"/>
    <w:rsid w:val="7F996CC6"/>
    <w:rsid w:val="7F9B3AA9"/>
    <w:rsid w:val="7FA6781D"/>
    <w:rsid w:val="7FA80C7D"/>
    <w:rsid w:val="7FD356DF"/>
    <w:rsid w:val="7FED5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keepNext/>
      <w:keepLines/>
      <w:numPr>
        <w:ilvl w:val="0"/>
        <w:numId w:val="1"/>
      </w:numPr>
      <w:outlineLvl w:val="0"/>
    </w:pPr>
    <w:rPr>
      <w:rFonts w:eastAsia="微软雅黑"/>
      <w:bCs/>
      <w:kern w:val="44"/>
      <w:szCs w:val="44"/>
    </w:rPr>
  </w:style>
  <w:style w:type="paragraph" w:styleId="4">
    <w:name w:val="heading 2"/>
    <w:basedOn w:val="1"/>
    <w:next w:val="1"/>
    <w:unhideWhenUsed/>
    <w:qFormat/>
    <w:uiPriority w:val="9"/>
    <w:pPr>
      <w:keepNext/>
      <w:keepLines/>
      <w:numPr>
        <w:ilvl w:val="1"/>
        <w:numId w:val="1"/>
      </w:numPr>
      <w:outlineLvl w:val="1"/>
    </w:pPr>
    <w:rPr>
      <w:rFonts w:eastAsia="微软雅黑" w:asciiTheme="majorHAnsi" w:hAnsiTheme="majorHAnsi" w:cstheme="majorBidi"/>
      <w:b/>
      <w:bCs/>
      <w:szCs w:val="32"/>
    </w:rPr>
  </w:style>
  <w:style w:type="paragraph" w:styleId="5">
    <w:name w:val="heading 3"/>
    <w:basedOn w:val="1"/>
    <w:next w:val="1"/>
    <w:qFormat/>
    <w:uiPriority w:val="0"/>
    <w:pPr>
      <w:numPr>
        <w:ilvl w:val="2"/>
        <w:numId w:val="2"/>
      </w:numPr>
      <w:tabs>
        <w:tab w:val="left" w:pos="630"/>
      </w:tabs>
      <w:spacing w:beforeLines="50" w:afterLines="50"/>
      <w:jc w:val="left"/>
      <w:outlineLvl w:val="2"/>
    </w:pPr>
    <w:rPr>
      <w:rFonts w:ascii="宋体" w:hAnsi="宋体"/>
      <w:b/>
      <w:bCs/>
      <w:sz w:val="24"/>
      <w:szCs w:val="24"/>
    </w:rPr>
  </w:style>
  <w:style w:type="paragraph" w:styleId="6">
    <w:name w:val="heading 4"/>
    <w:basedOn w:val="1"/>
    <w:next w:val="1"/>
    <w:qFormat/>
    <w:uiPriority w:val="0"/>
    <w:pPr>
      <w:keepNext/>
      <w:keepLines/>
      <w:spacing w:before="120" w:beforeLines="0" w:after="120" w:afterLines="0"/>
      <w:outlineLvl w:val="3"/>
    </w:pPr>
    <w:rPr>
      <w:rFonts w:ascii="Arial" w:hAnsi="Arial" w:eastAsia="黑体" w:cs="Times New Roman"/>
      <w:b/>
      <w:kern w:val="2"/>
      <w:sz w:val="28"/>
      <w:lang w:val="en-US"/>
    </w:rPr>
  </w:style>
  <w:style w:type="paragraph" w:styleId="7">
    <w:name w:val="heading 5"/>
    <w:basedOn w:val="1"/>
    <w:next w:val="1"/>
    <w:qFormat/>
    <w:uiPriority w:val="0"/>
    <w:pPr>
      <w:numPr>
        <w:ilvl w:val="4"/>
        <w:numId w:val="2"/>
      </w:numPr>
      <w:tabs>
        <w:tab w:val="left" w:pos="1260"/>
        <w:tab w:val="clear" w:pos="2291"/>
      </w:tabs>
      <w:jc w:val="left"/>
      <w:outlineLvl w:val="4"/>
    </w:pPr>
    <w:rPr>
      <w:rFonts w:eastAsia="Times New Roman"/>
      <w:bCs/>
      <w:sz w:val="24"/>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semiHidden/>
    <w:unhideWhenUsed/>
    <w:qFormat/>
    <w:uiPriority w:val="99"/>
    <w:pPr>
      <w:spacing w:after="120"/>
    </w:pPr>
  </w:style>
  <w:style w:type="paragraph" w:styleId="8">
    <w:name w:val="Normal Indent"/>
    <w:basedOn w:val="1"/>
    <w:qFormat/>
    <w:uiPriority w:val="0"/>
    <w:pPr>
      <w:widowControl/>
      <w:ind w:firstLine="420"/>
      <w:jc w:val="left"/>
    </w:pPr>
    <w:rPr>
      <w:kern w:val="0"/>
      <w:sz w:val="20"/>
      <w:szCs w:val="20"/>
    </w:rPr>
  </w:style>
  <w:style w:type="paragraph" w:styleId="9">
    <w:name w:val="Body Text Indent"/>
    <w:basedOn w:val="1"/>
    <w:qFormat/>
    <w:uiPriority w:val="0"/>
    <w:pPr>
      <w:ind w:firstLine="422" w:firstLineChars="200"/>
    </w:pPr>
    <w:rPr>
      <w:b/>
    </w:rPr>
  </w:style>
  <w:style w:type="paragraph" w:styleId="10">
    <w:name w:val="footer"/>
    <w:basedOn w:val="1"/>
    <w:qFormat/>
    <w:uiPriority w:val="0"/>
    <w:pPr>
      <w:tabs>
        <w:tab w:val="center" w:pos="4153"/>
        <w:tab w:val="right" w:pos="8306"/>
      </w:tabs>
      <w:snapToGrid w:val="0"/>
      <w:jc w:val="left"/>
    </w:pPr>
    <w:rPr>
      <w:sz w:val="18"/>
    </w:rPr>
  </w:style>
  <w:style w:type="paragraph" w:styleId="11">
    <w:name w:val="envelope return"/>
    <w:basedOn w:val="1"/>
    <w:qFormat/>
    <w:uiPriority w:val="0"/>
    <w:pPr>
      <w:snapToGrid w:val="0"/>
      <w:spacing w:line="240" w:lineRule="atLeast"/>
    </w:pPr>
    <w:rPr>
      <w:rFonts w:ascii="Arial" w:hAnsi="Arial" w:cs="Arial"/>
      <w:szCs w:val="21"/>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qFormat/>
    <w:uiPriority w:val="0"/>
    <w:pPr>
      <w:widowControl/>
      <w:jc w:val="center"/>
    </w:pPr>
    <w:rPr>
      <w:rFonts w:ascii="楷体_GB2312" w:hAnsi="楷体_GB2312" w:eastAsia="楷体_GB2312"/>
      <w:sz w:val="28"/>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paragraph" w:styleId="16">
    <w:name w:val="Body Text First Indent 2"/>
    <w:basedOn w:val="9"/>
    <w:unhideWhenUsed/>
    <w:qFormat/>
    <w:uiPriority w:val="99"/>
    <w:pPr>
      <w:spacing w:after="120"/>
      <w:ind w:left="420" w:leftChars="200" w:firstLine="420" w:firstLineChars="200"/>
    </w:pPr>
    <w:rPr>
      <w:sz w:val="21"/>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
    <w:name w:val="首行缩进"/>
    <w:basedOn w:val="21"/>
    <w:qFormat/>
    <w:uiPriority w:val="0"/>
    <w:pPr>
      <w:spacing w:line="360" w:lineRule="auto"/>
      <w:ind w:firstLine="480" w:firstLineChars="200"/>
      <w:jc w:val="left"/>
    </w:pPr>
    <w:rPr>
      <w:rFonts w:ascii="宋体" w:hAnsi="宋体"/>
      <w:sz w:val="24"/>
    </w:rPr>
  </w:style>
  <w:style w:type="paragraph" w:customStyle="1" w:styleId="21">
    <w:name w:val="正文1"/>
    <w:next w:val="20"/>
    <w:qFormat/>
    <w:uiPriority w:val="0"/>
    <w:pPr>
      <w:widowControl w:val="0"/>
      <w:suppressAutoHyphens w:val="0"/>
      <w:bidi w:val="0"/>
      <w:jc w:val="both"/>
    </w:pPr>
    <w:rPr>
      <w:rFonts w:ascii="Calibri" w:hAnsi="Calibri" w:eastAsia="宋体" w:cs="Times New Roman"/>
      <w:color w:val="auto"/>
      <w:kern w:val="2"/>
      <w:sz w:val="21"/>
      <w:szCs w:val="24"/>
      <w:lang w:val="en-US" w:eastAsia="zh-CN" w:bidi="ar-SA"/>
    </w:rPr>
  </w:style>
  <w:style w:type="paragraph" w:customStyle="1" w:styleId="22">
    <w:name w:val="p0"/>
    <w:basedOn w:val="1"/>
    <w:qFormat/>
    <w:uiPriority w:val="0"/>
    <w:pPr>
      <w:widowControl/>
    </w:pPr>
    <w:rPr>
      <w:rFonts w:ascii="宋体" w:hAnsi="宋体" w:cs="宋体"/>
      <w:kern w:val="0"/>
      <w:szCs w:val="21"/>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Table Text"/>
    <w:basedOn w:val="1"/>
    <w:semiHidden/>
    <w:qFormat/>
    <w:uiPriority w:val="0"/>
    <w:rPr>
      <w:rFonts w:ascii="Cambria" w:hAnsi="Cambria" w:eastAsia="Cambria" w:cs="Cambria"/>
      <w:sz w:val="28"/>
      <w:szCs w:val="28"/>
      <w:lang w:val="en-US" w:eastAsia="en-US" w:bidi="ar-SA"/>
    </w:rPr>
  </w:style>
  <w:style w:type="paragraph" w:styleId="25">
    <w:name w:val="List Paragraph"/>
    <w:basedOn w:val="1"/>
    <w:qFormat/>
    <w:uiPriority w:val="34"/>
    <w:pPr>
      <w:spacing w:line="400" w:lineRule="exact"/>
    </w:pPr>
    <w:rPr>
      <w:sz w:val="22"/>
    </w:rPr>
  </w:style>
  <w:style w:type="character" w:customStyle="1" w:styleId="26">
    <w:name w:val="NormalCharacter"/>
    <w:semiHidden/>
    <w:qFormat/>
    <w:uiPriority w:val="0"/>
    <w:rPr>
      <w:rFonts w:ascii="Calibri" w:hAnsi="Calibri" w:eastAsia="宋体" w:cs="Times New Roman"/>
      <w:color w:val="auto"/>
      <w:kern w:val="0"/>
      <w:sz w:val="21"/>
      <w:szCs w:val="24"/>
      <w:lang w:val="en-US" w:eastAsia="zh-CN" w:bidi="ar-SA"/>
    </w:rPr>
  </w:style>
  <w:style w:type="paragraph" w:customStyle="1" w:styleId="27">
    <w:name w:val="正文 A"/>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Times New Roman" w:hAnsi="Times New Roman" w:eastAsia="Arial Unicode MS" w:cs="Arial Unicode MS"/>
      <w:color w:val="000000"/>
      <w:kern w:val="2"/>
      <w:sz w:val="21"/>
      <w:szCs w:val="21"/>
      <w:u w:color="000000"/>
      <w:shd w:val="clear"/>
      <w:lang w:val="en-US" w:eastAsia="zh-CN" w:bidi="ar-SA"/>
    </w:rPr>
  </w:style>
  <w:style w:type="paragraph" w:customStyle="1" w:styleId="28">
    <w:name w:val="列出段落3"/>
    <w:basedOn w:val="1"/>
    <w:qFormat/>
    <w:uiPriority w:val="0"/>
    <w:pPr>
      <w:ind w:firstLine="420" w:firstLineChars="200"/>
    </w:pPr>
    <w:rPr>
      <w:rFonts w:ascii="Times New Roman" w:hAnsi="Times New Roman"/>
      <w:snapToGrid w:val="0"/>
      <w:szCs w:val="21"/>
    </w:rPr>
  </w:style>
  <w:style w:type="paragraph" w:customStyle="1" w:styleId="29">
    <w:name w:val="正文缩进2"/>
    <w:basedOn w:val="1"/>
    <w:qFormat/>
    <w:uiPriority w:val="0"/>
    <w:pPr>
      <w:ind w:firstLine="420" w:firstLineChars="200"/>
    </w:pPr>
    <w:rPr>
      <w:rFonts w:ascii="Times New Roman" w:hAnsi="Times New Roman"/>
    </w:rPr>
  </w:style>
  <w:style w:type="paragraph" w:customStyle="1" w:styleId="30">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1">
    <w:name w:val="font21"/>
    <w:basedOn w:val="19"/>
    <w:qFormat/>
    <w:uiPriority w:val="0"/>
    <w:rPr>
      <w:rFonts w:ascii="仿宋" w:hAnsi="仿宋" w:eastAsia="仿宋" w:cs="仿宋"/>
      <w:color w:val="000000"/>
      <w:sz w:val="24"/>
      <w:szCs w:val="24"/>
      <w:u w:val="none"/>
    </w:rPr>
  </w:style>
  <w:style w:type="character" w:customStyle="1" w:styleId="32">
    <w:name w:val="font71"/>
    <w:basedOn w:val="19"/>
    <w:qFormat/>
    <w:uiPriority w:val="0"/>
    <w:rPr>
      <w:rFonts w:hint="default" w:ascii="Times New Roman" w:hAnsi="Times New Roman" w:cs="Times New Roman"/>
      <w:color w:val="000000"/>
      <w:sz w:val="24"/>
      <w:szCs w:val="24"/>
      <w:u w:val="none"/>
    </w:rPr>
  </w:style>
  <w:style w:type="character" w:customStyle="1" w:styleId="33">
    <w:name w:val="font112"/>
    <w:basedOn w:val="19"/>
    <w:qFormat/>
    <w:uiPriority w:val="0"/>
    <w:rPr>
      <w:rFonts w:hint="default" w:ascii="Times New Roman" w:hAnsi="Times New Roman" w:cs="Times New Roman"/>
      <w:color w:val="000000"/>
      <w:sz w:val="24"/>
      <w:szCs w:val="24"/>
      <w:u w:val="none"/>
    </w:rPr>
  </w:style>
  <w:style w:type="character" w:customStyle="1" w:styleId="34">
    <w:name w:val="font41"/>
    <w:basedOn w:val="19"/>
    <w:qFormat/>
    <w:uiPriority w:val="0"/>
    <w:rPr>
      <w:rFonts w:hint="eastAsia" w:ascii="方正仿宋简体" w:hAnsi="方正仿宋简体" w:eastAsia="方正仿宋简体" w:cs="方正仿宋简体"/>
      <w:color w:val="000000"/>
      <w:sz w:val="24"/>
      <w:szCs w:val="24"/>
      <w:u w:val="none"/>
    </w:rPr>
  </w:style>
  <w:style w:type="paragraph" w:customStyle="1" w:styleId="35">
    <w:name w:val="列出段落1"/>
    <w:basedOn w:val="1"/>
    <w:qFormat/>
    <w:uiPriority w:val="34"/>
    <w:pPr>
      <w:ind w:firstLine="420" w:firstLineChars="200"/>
    </w:pPr>
  </w:style>
  <w:style w:type="character" w:customStyle="1" w:styleId="36">
    <w:name w:val="font81"/>
    <w:basedOn w:val="19"/>
    <w:qFormat/>
    <w:uiPriority w:val="0"/>
    <w:rPr>
      <w:rFonts w:hint="eastAsia" w:ascii="方正仿宋简体" w:hAnsi="方正仿宋简体" w:eastAsia="方正仿宋简体" w:cs="方正仿宋简体"/>
      <w:color w:val="000000"/>
      <w:sz w:val="24"/>
      <w:szCs w:val="24"/>
      <w:u w:val="none"/>
    </w:rPr>
  </w:style>
  <w:style w:type="paragraph" w:customStyle="1" w:styleId="37">
    <w:name w:val="Default"/>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 w:type="character" w:customStyle="1" w:styleId="38">
    <w:name w:val="font31"/>
    <w:basedOn w:val="19"/>
    <w:qFormat/>
    <w:uiPriority w:val="0"/>
    <w:rPr>
      <w:rFonts w:hint="default" w:ascii="Times New Roman" w:hAnsi="Times New Roman" w:cs="Times New Roman"/>
      <w:color w:val="000000"/>
      <w:sz w:val="24"/>
      <w:szCs w:val="24"/>
      <w:u w:val="none"/>
    </w:rPr>
  </w:style>
  <w:style w:type="character" w:customStyle="1" w:styleId="39">
    <w:name w:val="font51"/>
    <w:basedOn w:val="19"/>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b</Company>
  <Pages>35</Pages>
  <Words>17823</Words>
  <Characters>19943</Characters>
  <Lines>0</Lines>
  <Paragraphs>0</Paragraphs>
  <TotalTime>0</TotalTime>
  <ScaleCrop>false</ScaleCrop>
  <LinksUpToDate>false</LinksUpToDate>
  <CharactersWithSpaces>20143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2024-03-18T05:22:00Z</dcterms:created>
  <dc:creator>史定金</dc:creator>
  <cp:lastModifiedBy>繁星点点</cp:lastModifiedBy>
  <dcterms:modified xsi:type="dcterms:W3CDTF">2026-07-16T07:49:46Z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76FE9291861C4F029D32F91368D73AFB_13</vt:lpwstr>
  </property>
  <property fmtid="{D5CDD505-2E9C-101B-9397-08002B2CF9AE}" pid="4" name="KSOTemplateDocerSaveRecord">
    <vt:lpwstr>eyJoZGlkIjoiMzZkM2EwYTBlZTViYzY5NTc3NmFjYTNhNDhlNTkyYmMiLCJ1c2VySWQiOiI2MDI3MDQyMzYifQ==</vt:lpwstr>
  </property>
</Properties>
</file>