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6" w:beforeLines="50" w:after="156" w:afterLines="50" w:line="560" w:lineRule="exact"/>
        <w:jc w:val="center"/>
        <w:textAlignment w:val="auto"/>
        <w:outlineLvl w:val="9"/>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关于</w:t>
      </w:r>
      <w:r>
        <w:rPr>
          <w:rFonts w:hint="eastAsia" w:ascii="方正小标宋简体" w:hAnsi="方正小标宋简体" w:eastAsia="方正小标宋简体" w:cs="方正小标宋简体"/>
          <w:b w:val="0"/>
          <w:bCs w:val="0"/>
          <w:sz w:val="36"/>
          <w:szCs w:val="36"/>
          <w:lang w:val="en-US" w:eastAsia="zh-CN"/>
        </w:rPr>
        <w:t>南京市江宁医院手术室设备及附件的论证</w:t>
      </w:r>
      <w:r>
        <w:rPr>
          <w:rFonts w:hint="eastAsia" w:ascii="方正小标宋简体" w:hAnsi="方正小标宋简体" w:eastAsia="方正小标宋简体" w:cs="方正小标宋简体"/>
          <w:b w:val="0"/>
          <w:bCs w:val="0"/>
          <w:sz w:val="36"/>
          <w:szCs w:val="36"/>
        </w:rPr>
        <w:t>公告</w:t>
      </w:r>
    </w:p>
    <w:p>
      <w:pPr>
        <w:pStyle w:val="2"/>
      </w:pPr>
    </w:p>
    <w:p>
      <w:pPr>
        <w:keepNext w:val="0"/>
        <w:keepLines w:val="0"/>
        <w:pageBreakBefore w:val="0"/>
        <w:widowControl w:val="0"/>
        <w:kinsoku/>
        <w:wordWrap/>
        <w:overflowPunct/>
        <w:topLinePunct w:val="0"/>
        <w:autoSpaceDE/>
        <w:autoSpaceDN/>
        <w:bidi w:val="0"/>
        <w:adjustRightInd/>
        <w:snapToGrid/>
        <w:spacing w:before="156" w:beforeLines="50" w:after="156" w:afterLines="50" w:line="360" w:lineRule="exact"/>
        <w:textAlignment w:val="auto"/>
        <w:outlineLvl w:val="9"/>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rPr>
        <w:t>一、采购人</w:t>
      </w:r>
    </w:p>
    <w:p>
      <w:pPr>
        <w:keepNext w:val="0"/>
        <w:keepLines w:val="0"/>
        <w:pageBreakBefore w:val="0"/>
        <w:widowControl w:val="0"/>
        <w:kinsoku/>
        <w:wordWrap/>
        <w:overflowPunct/>
        <w:topLinePunct w:val="0"/>
        <w:autoSpaceDE/>
        <w:autoSpaceDN/>
        <w:bidi w:val="0"/>
        <w:adjustRightInd/>
        <w:snapToGrid/>
        <w:spacing w:before="156" w:beforeLines="50" w:after="156" w:afterLines="50" w:line="360" w:lineRule="exact"/>
        <w:textAlignment w:val="auto"/>
        <w:outlineLvl w:val="9"/>
        <w:rPr>
          <w:rFonts w:hint="eastAsia" w:ascii="方正仿宋简体" w:hAnsi="方正仿宋简体" w:eastAsia="方正仿宋简体" w:cs="方正仿宋简体"/>
          <w:color w:val="auto"/>
          <w:sz w:val="28"/>
          <w:szCs w:val="28"/>
          <w:lang w:val="en-US" w:eastAsia="zh-CN"/>
        </w:rPr>
      </w:pPr>
      <w:r>
        <w:rPr>
          <w:rFonts w:hint="eastAsia" w:ascii="方正仿宋简体" w:hAnsi="方正仿宋简体" w:eastAsia="方正仿宋简体" w:cs="方正仿宋简体"/>
          <w:color w:val="auto"/>
          <w:sz w:val="28"/>
          <w:szCs w:val="28"/>
          <w:lang w:val="en-US" w:eastAsia="zh-CN"/>
        </w:rPr>
        <w:t>南京市江宁医院</w:t>
      </w:r>
    </w:p>
    <w:p>
      <w:pPr>
        <w:keepNext w:val="0"/>
        <w:keepLines w:val="0"/>
        <w:pageBreakBefore w:val="0"/>
        <w:widowControl w:val="0"/>
        <w:kinsoku/>
        <w:wordWrap/>
        <w:overflowPunct/>
        <w:topLinePunct w:val="0"/>
        <w:autoSpaceDE/>
        <w:autoSpaceDN/>
        <w:bidi w:val="0"/>
        <w:adjustRightInd/>
        <w:snapToGrid/>
        <w:spacing w:before="156" w:beforeLines="50" w:after="156" w:afterLines="50" w:line="360" w:lineRule="exact"/>
        <w:textAlignment w:val="auto"/>
        <w:outlineLvl w:val="9"/>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rPr>
        <w:t>二、地址</w:t>
      </w:r>
    </w:p>
    <w:p>
      <w:pPr>
        <w:keepNext w:val="0"/>
        <w:keepLines w:val="0"/>
        <w:pageBreakBefore w:val="0"/>
        <w:widowControl w:val="0"/>
        <w:kinsoku/>
        <w:wordWrap/>
        <w:overflowPunct/>
        <w:topLinePunct w:val="0"/>
        <w:autoSpaceDE/>
        <w:autoSpaceDN/>
        <w:bidi w:val="0"/>
        <w:adjustRightInd/>
        <w:snapToGrid/>
        <w:spacing w:before="156" w:beforeLines="50" w:after="156" w:afterLines="50" w:line="360" w:lineRule="exact"/>
        <w:textAlignment w:val="auto"/>
        <w:outlineLvl w:val="9"/>
        <w:rPr>
          <w:rFonts w:hint="eastAsia" w:ascii="方正仿宋简体" w:hAnsi="方正仿宋简体" w:eastAsia="方正仿宋简体" w:cs="方正仿宋简体"/>
          <w:color w:val="auto"/>
          <w:sz w:val="28"/>
          <w:szCs w:val="28"/>
          <w:lang w:val="en-US" w:eastAsia="zh-CN"/>
        </w:rPr>
      </w:pPr>
      <w:r>
        <w:rPr>
          <w:rFonts w:hint="eastAsia" w:ascii="方正仿宋简体" w:hAnsi="方正仿宋简体" w:eastAsia="方正仿宋简体" w:cs="方正仿宋简体"/>
          <w:color w:val="auto"/>
          <w:sz w:val="28"/>
          <w:szCs w:val="28"/>
          <w:lang w:val="en-US" w:eastAsia="zh-CN"/>
        </w:rPr>
        <w:t>南京市江宁区疾病预防控制中心(江宁区天印大道671号)二楼小会议室</w:t>
      </w:r>
    </w:p>
    <w:p>
      <w:pPr>
        <w:keepNext w:val="0"/>
        <w:keepLines w:val="0"/>
        <w:pageBreakBefore w:val="0"/>
        <w:widowControl w:val="0"/>
        <w:kinsoku/>
        <w:wordWrap/>
        <w:overflowPunct/>
        <w:topLinePunct w:val="0"/>
        <w:autoSpaceDE/>
        <w:autoSpaceDN/>
        <w:bidi w:val="0"/>
        <w:adjustRightInd/>
        <w:snapToGrid/>
        <w:spacing w:before="156" w:beforeLines="50" w:after="156" w:afterLines="50" w:line="360" w:lineRule="exact"/>
        <w:textAlignment w:val="auto"/>
        <w:outlineLvl w:val="9"/>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b/>
          <w:bCs/>
          <w:sz w:val="28"/>
          <w:szCs w:val="28"/>
        </w:rPr>
        <w:t>三、★要求</w:t>
      </w:r>
    </w:p>
    <w:p>
      <w:pPr>
        <w:keepNext w:val="0"/>
        <w:keepLines w:val="0"/>
        <w:pageBreakBefore w:val="0"/>
        <w:widowControl w:val="0"/>
        <w:kinsoku/>
        <w:wordWrap/>
        <w:overflowPunct/>
        <w:topLinePunct w:val="0"/>
        <w:autoSpaceDE/>
        <w:autoSpaceDN/>
        <w:bidi w:val="0"/>
        <w:adjustRightInd w:val="0"/>
        <w:snapToGrid/>
        <w:spacing w:before="160" w:after="160" w:line="440" w:lineRule="exact"/>
        <w:ind w:firstLine="560" w:firstLineChars="200"/>
        <w:contextualSpacing/>
        <w:textAlignment w:val="auto"/>
        <w:outlineLvl w:val="9"/>
        <w:rPr>
          <w:rFonts w:hint="eastAsia" w:ascii="方正仿宋简体" w:hAnsi="方正仿宋简体" w:eastAsia="方正仿宋简体" w:cs="方正仿宋简体"/>
          <w:b w:val="0"/>
          <w:bCs/>
          <w:color w:val="auto"/>
          <w:sz w:val="28"/>
          <w:szCs w:val="28"/>
        </w:rPr>
      </w:pPr>
      <w:r>
        <w:rPr>
          <w:rFonts w:hint="eastAsia" w:ascii="方正仿宋简体" w:hAnsi="方正仿宋简体" w:eastAsia="方正仿宋简体" w:cs="方正仿宋简体"/>
          <w:sz w:val="28"/>
          <w:szCs w:val="28"/>
        </w:rPr>
        <w:t>欢迎生产企业、经营企业以及潜在供应商前来</w:t>
      </w:r>
      <w:r>
        <w:rPr>
          <w:rFonts w:hint="eastAsia" w:ascii="方正仿宋简体" w:hAnsi="方正仿宋简体" w:eastAsia="方正仿宋简体" w:cs="方正仿宋简体"/>
          <w:sz w:val="28"/>
          <w:szCs w:val="28"/>
          <w:lang w:eastAsia="zh-CN"/>
        </w:rPr>
        <w:t>参加论证</w:t>
      </w:r>
      <w:r>
        <w:rPr>
          <w:rFonts w:hint="eastAsia" w:ascii="方正仿宋简体" w:hAnsi="方正仿宋简体" w:eastAsia="方正仿宋简体" w:cs="方正仿宋简体"/>
          <w:sz w:val="28"/>
          <w:szCs w:val="28"/>
        </w:rPr>
        <w:t>，同时提交产品资料。有意向</w:t>
      </w:r>
      <w:r>
        <w:rPr>
          <w:rFonts w:hint="eastAsia" w:ascii="方正仿宋简体" w:hAnsi="方正仿宋简体" w:eastAsia="方正仿宋简体" w:cs="方正仿宋简体"/>
          <w:sz w:val="28"/>
          <w:szCs w:val="28"/>
          <w:lang w:eastAsia="zh-CN"/>
        </w:rPr>
        <w:t>参加</w:t>
      </w:r>
      <w:r>
        <w:rPr>
          <w:rFonts w:hint="eastAsia" w:ascii="方正仿宋简体" w:hAnsi="方正仿宋简体" w:eastAsia="方正仿宋简体" w:cs="方正仿宋简体"/>
          <w:sz w:val="28"/>
          <w:szCs w:val="28"/>
        </w:rPr>
        <w:t>者须提供符合要求的</w:t>
      </w:r>
      <w:r>
        <w:rPr>
          <w:rFonts w:hint="eastAsia" w:ascii="方正仿宋简体" w:hAnsi="方正仿宋简体" w:eastAsia="方正仿宋简体" w:cs="方正仿宋简体"/>
          <w:sz w:val="28"/>
          <w:szCs w:val="28"/>
          <w:lang w:eastAsia="zh-CN"/>
        </w:rPr>
        <w:t>论证</w:t>
      </w:r>
      <w:r>
        <w:rPr>
          <w:rFonts w:hint="eastAsia" w:ascii="方正仿宋简体" w:hAnsi="方正仿宋简体" w:eastAsia="方正仿宋简体" w:cs="方正仿宋简体"/>
          <w:sz w:val="28"/>
          <w:szCs w:val="28"/>
        </w:rPr>
        <w:t>材料文件</w:t>
      </w:r>
      <w:r>
        <w:rPr>
          <w:rFonts w:hint="eastAsia" w:ascii="方正仿宋简体" w:hAnsi="方正仿宋简体" w:eastAsia="方正仿宋简体" w:cs="方正仿宋简体"/>
          <w:sz w:val="28"/>
          <w:szCs w:val="28"/>
          <w:lang w:eastAsia="zh-CN"/>
        </w:rPr>
        <w:t>，</w:t>
      </w:r>
      <w:r>
        <w:rPr>
          <w:rFonts w:hint="eastAsia" w:ascii="方正仿宋简体" w:hAnsi="方正仿宋简体" w:eastAsia="方正仿宋简体" w:cs="方正仿宋简体"/>
          <w:sz w:val="28"/>
          <w:szCs w:val="28"/>
        </w:rPr>
        <w:t>类似于标书形式正本1本、副本3本，并</w:t>
      </w:r>
      <w:r>
        <w:rPr>
          <w:rFonts w:hint="eastAsia" w:ascii="方正仿宋简体" w:hAnsi="方正仿宋简体" w:eastAsia="方正仿宋简体" w:cs="方正仿宋简体"/>
          <w:b w:val="0"/>
          <w:bCs/>
          <w:color w:val="auto"/>
          <w:sz w:val="28"/>
          <w:szCs w:val="28"/>
        </w:rPr>
        <w:t>保证所提供的各种材料真实、有效、齐全，承担相应的法律责任。请按下列顺序装订：</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firstLineChars="0"/>
        <w:contextualSpacing/>
        <w:textAlignment w:val="auto"/>
        <w:outlineLvl w:val="9"/>
        <w:rPr>
          <w:rFonts w:hint="eastAsia" w:ascii="方正仿宋简体" w:hAnsi="方正仿宋简体" w:eastAsia="方正仿宋简体" w:cs="方正仿宋简体"/>
          <w:b w:val="0"/>
          <w:bCs w:val="0"/>
          <w:i w:val="0"/>
          <w:iCs w:val="0"/>
          <w:color w:val="000000"/>
          <w:kern w:val="0"/>
          <w:sz w:val="28"/>
          <w:szCs w:val="28"/>
          <w:u w:val="none"/>
          <w:lang w:val="en-US" w:eastAsia="zh-CN" w:bidi="ar"/>
        </w:rPr>
      </w:pPr>
      <w:r>
        <w:rPr>
          <w:rFonts w:hint="eastAsia" w:ascii="方正仿宋简体" w:hAnsi="方正仿宋简体" w:eastAsia="方正仿宋简体" w:cs="方正仿宋简体"/>
          <w:sz w:val="28"/>
          <w:szCs w:val="28"/>
        </w:rPr>
        <w:t>封面：</w:t>
      </w:r>
      <w:r>
        <w:rPr>
          <w:rFonts w:hint="eastAsia" w:ascii="方正仿宋简体" w:hAnsi="方正仿宋简体" w:eastAsia="方正仿宋简体" w:cs="方正仿宋简体"/>
          <w:sz w:val="28"/>
          <w:szCs w:val="28"/>
          <w:lang w:eastAsia="zh-CN"/>
        </w:rPr>
        <w:t>包</w:t>
      </w:r>
      <w:r>
        <w:rPr>
          <w:rFonts w:hint="eastAsia" w:ascii="方正仿宋简体" w:hAnsi="方正仿宋简体" w:eastAsia="方正仿宋简体" w:cs="方正仿宋简体"/>
          <w:sz w:val="28"/>
          <w:szCs w:val="28"/>
        </w:rPr>
        <w:t>号、产品名称、品牌型号、注册证号、设备厂家设计使用期限、有无专机专用耗材/试剂，</w:t>
      </w:r>
      <w:r>
        <w:rPr>
          <w:rFonts w:hint="eastAsia" w:ascii="方正仿宋简体" w:hAnsi="方正仿宋简体" w:eastAsia="方正仿宋简体" w:cs="方正仿宋简体"/>
          <w:sz w:val="28"/>
          <w:szCs w:val="28"/>
          <w:lang w:eastAsia="zh-CN"/>
        </w:rPr>
        <w:t>免费质保年限、产品</w:t>
      </w:r>
      <w:r>
        <w:rPr>
          <w:rFonts w:hint="eastAsia" w:ascii="方正仿宋简体" w:hAnsi="方正仿宋简体" w:eastAsia="方正仿宋简体" w:cs="方正仿宋简体"/>
          <w:sz w:val="28"/>
          <w:szCs w:val="28"/>
        </w:rPr>
        <w:t>公司名称等信息。</w:t>
      </w:r>
    </w:p>
    <w:p>
      <w:pPr>
        <w:pStyle w:val="25"/>
        <w:keepNext w:val="0"/>
        <w:keepLines w:val="0"/>
        <w:pageBreakBefore w:val="0"/>
        <w:widowControl w:val="0"/>
        <w:numPr>
          <w:ilvl w:val="0"/>
          <w:numId w:val="0"/>
        </w:numPr>
        <w:kinsoku/>
        <w:wordWrap/>
        <w:overflowPunct/>
        <w:topLinePunct w:val="0"/>
        <w:autoSpaceDE/>
        <w:autoSpaceDN/>
        <w:bidi w:val="0"/>
        <w:adjustRightInd w:val="0"/>
        <w:snapToGrid/>
        <w:spacing w:before="160" w:after="160" w:line="440" w:lineRule="exact"/>
        <w:ind w:left="284" w:leftChars="0"/>
        <w:contextualSpacing/>
        <w:jc w:val="center"/>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南京市江宁医院XX设备（包1）明细表</w:t>
      </w:r>
      <w:r>
        <w:rPr>
          <w:rFonts w:hint="eastAsia" w:ascii="方正仿宋简体" w:hAnsi="方正仿宋简体" w:eastAsia="方正仿宋简体" w:cs="方正仿宋简体"/>
          <w:sz w:val="28"/>
          <w:szCs w:val="28"/>
        </w:rPr>
        <w:t>（样表）</w:t>
      </w:r>
    </w:p>
    <w:tbl>
      <w:tblPr>
        <w:tblStyle w:val="18"/>
        <w:tblpPr w:leftFromText="180" w:rightFromText="180" w:vertAnchor="page" w:horzAnchor="page" w:tblpX="1320" w:tblpY="8439"/>
        <w:tblW w:w="9809" w:type="dxa"/>
        <w:tblInd w:w="0" w:type="dxa"/>
        <w:tblLayout w:type="fixed"/>
        <w:tblCellMar>
          <w:top w:w="0" w:type="dxa"/>
          <w:left w:w="108" w:type="dxa"/>
          <w:bottom w:w="0" w:type="dxa"/>
          <w:right w:w="108" w:type="dxa"/>
        </w:tblCellMar>
      </w:tblPr>
      <w:tblGrid>
        <w:gridCol w:w="655"/>
        <w:gridCol w:w="1080"/>
        <w:gridCol w:w="703"/>
        <w:gridCol w:w="703"/>
        <w:gridCol w:w="731"/>
        <w:gridCol w:w="763"/>
        <w:gridCol w:w="720"/>
        <w:gridCol w:w="780"/>
        <w:gridCol w:w="645"/>
        <w:gridCol w:w="870"/>
        <w:gridCol w:w="735"/>
        <w:gridCol w:w="795"/>
        <w:gridCol w:w="629"/>
      </w:tblGrid>
      <w:tr>
        <w:tblPrEx>
          <w:tblLayout w:type="fixed"/>
          <w:tblCellMar>
            <w:top w:w="0" w:type="dxa"/>
            <w:left w:w="108" w:type="dxa"/>
            <w:bottom w:w="0" w:type="dxa"/>
            <w:right w:w="108" w:type="dxa"/>
          </w:tblCellMar>
        </w:tblPrEx>
        <w:trPr>
          <w:trHeight w:val="1535" w:hRule="atLeast"/>
        </w:trPr>
        <w:tc>
          <w:tcPr>
            <w:tcW w:w="6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lang w:eastAsia="zh-CN"/>
              </w:rPr>
            </w:pPr>
            <w:bookmarkStart w:id="0" w:name="_Hlk107847716"/>
            <w:r>
              <w:rPr>
                <w:rFonts w:hint="eastAsia" w:ascii="宋体" w:hAnsi="宋体" w:cs="宋体"/>
                <w:b/>
                <w:bCs/>
                <w:color w:val="000000"/>
                <w:kern w:val="0"/>
                <w:sz w:val="24"/>
                <w:szCs w:val="24"/>
                <w:lang w:eastAsia="zh-CN"/>
              </w:rPr>
              <w:t>序号</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医疗器械注册证产品名称</w:t>
            </w:r>
          </w:p>
        </w:tc>
        <w:tc>
          <w:tcPr>
            <w:tcW w:w="70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品牌</w:t>
            </w:r>
          </w:p>
        </w:tc>
        <w:tc>
          <w:tcPr>
            <w:tcW w:w="70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规格型号</w:t>
            </w:r>
          </w:p>
        </w:tc>
        <w:tc>
          <w:tcPr>
            <w:tcW w:w="73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设备注册证号</w:t>
            </w:r>
          </w:p>
        </w:tc>
        <w:tc>
          <w:tcPr>
            <w:tcW w:w="76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lang w:eastAsia="zh-CN"/>
              </w:rPr>
            </w:pPr>
            <w:r>
              <w:rPr>
                <w:rFonts w:hint="eastAsia" w:ascii="宋体" w:hAnsi="宋体" w:cs="宋体"/>
                <w:b/>
                <w:bCs/>
                <w:color w:val="000000"/>
                <w:kern w:val="0"/>
                <w:sz w:val="24"/>
                <w:szCs w:val="24"/>
                <w:lang w:eastAsia="zh-CN"/>
              </w:rPr>
              <w:t>设计使用年限</w:t>
            </w:r>
          </w:p>
        </w:tc>
        <w:tc>
          <w:tcPr>
            <w:tcW w:w="72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单价</w:t>
            </w:r>
            <w:r>
              <w:rPr>
                <w:rFonts w:hint="eastAsia" w:ascii="宋体" w:hAnsi="宋体" w:cs="宋体"/>
                <w:b/>
                <w:bCs/>
                <w:color w:val="000000"/>
                <w:kern w:val="0"/>
                <w:sz w:val="24"/>
                <w:szCs w:val="24"/>
                <w:lang w:val="en-US" w:eastAsia="zh-CN"/>
              </w:rPr>
              <w:t xml:space="preserve"> </w:t>
            </w:r>
            <w:r>
              <w:rPr>
                <w:rFonts w:hint="eastAsia" w:ascii="宋体" w:hAnsi="宋体" w:eastAsia="宋体" w:cs="宋体"/>
                <w:b/>
                <w:bCs/>
                <w:color w:val="000000"/>
                <w:kern w:val="0"/>
                <w:sz w:val="24"/>
                <w:szCs w:val="24"/>
              </w:rPr>
              <w:t>（</w:t>
            </w:r>
            <w:r>
              <w:rPr>
                <w:rFonts w:hint="eastAsia" w:ascii="宋体" w:hAnsi="宋体" w:cs="宋体"/>
                <w:b/>
                <w:bCs/>
                <w:color w:val="000000"/>
                <w:kern w:val="0"/>
                <w:sz w:val="24"/>
                <w:szCs w:val="24"/>
                <w:lang w:eastAsia="zh-CN"/>
              </w:rPr>
              <w:t>万</w:t>
            </w:r>
            <w:r>
              <w:rPr>
                <w:rFonts w:hint="eastAsia" w:ascii="宋体" w:hAnsi="宋体" w:eastAsia="宋体" w:cs="宋体"/>
                <w:b/>
                <w:bCs/>
                <w:color w:val="000000"/>
                <w:kern w:val="0"/>
                <w:sz w:val="24"/>
                <w:szCs w:val="24"/>
              </w:rPr>
              <w:t>元）</w:t>
            </w:r>
          </w:p>
        </w:tc>
        <w:tc>
          <w:tcPr>
            <w:tcW w:w="78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cs="宋体"/>
                <w:b/>
                <w:bCs/>
                <w:color w:val="000000"/>
                <w:kern w:val="0"/>
                <w:sz w:val="24"/>
                <w:szCs w:val="24"/>
                <w:lang w:eastAsia="zh-CN"/>
              </w:rPr>
            </w:pPr>
            <w:r>
              <w:rPr>
                <w:rFonts w:hint="eastAsia" w:ascii="宋体" w:hAnsi="宋体" w:cs="宋体"/>
                <w:b/>
                <w:bCs/>
                <w:color w:val="000000"/>
                <w:kern w:val="0"/>
                <w:sz w:val="24"/>
                <w:szCs w:val="24"/>
                <w:lang w:eastAsia="zh-CN"/>
              </w:rPr>
              <w:t>数量（台、套）</w:t>
            </w:r>
          </w:p>
        </w:tc>
        <w:tc>
          <w:tcPr>
            <w:tcW w:w="64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lang w:eastAsia="zh-CN"/>
              </w:rPr>
            </w:pPr>
            <w:r>
              <w:rPr>
                <w:rFonts w:hint="eastAsia" w:ascii="宋体" w:hAnsi="宋体" w:cs="宋体"/>
                <w:b/>
                <w:bCs/>
                <w:color w:val="000000"/>
                <w:kern w:val="0"/>
                <w:sz w:val="24"/>
                <w:szCs w:val="24"/>
                <w:lang w:eastAsia="zh-CN"/>
              </w:rPr>
              <w:t>金额（万元）</w:t>
            </w:r>
          </w:p>
        </w:tc>
        <w:tc>
          <w:tcPr>
            <w:tcW w:w="87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lang w:val="en-US" w:eastAsia="zh-CN"/>
              </w:rPr>
            </w:pPr>
            <w:r>
              <w:rPr>
                <w:rFonts w:hint="eastAsia" w:ascii="宋体" w:hAnsi="宋体" w:cs="宋体"/>
                <w:b/>
                <w:bCs/>
                <w:color w:val="000000"/>
                <w:kern w:val="0"/>
                <w:sz w:val="24"/>
                <w:szCs w:val="24"/>
                <w:lang w:eastAsia="zh-CN"/>
              </w:rPr>
              <w:t>有</w:t>
            </w:r>
            <w:r>
              <w:rPr>
                <w:rFonts w:hint="eastAsia" w:ascii="宋体" w:hAnsi="宋体" w:cs="宋体"/>
                <w:b/>
                <w:bCs/>
                <w:color w:val="000000"/>
                <w:kern w:val="0"/>
                <w:sz w:val="24"/>
                <w:szCs w:val="24"/>
                <w:lang w:val="en-US" w:eastAsia="zh-CN"/>
              </w:rPr>
              <w:t>无专机专用耗材/试剂</w:t>
            </w:r>
          </w:p>
        </w:tc>
        <w:tc>
          <w:tcPr>
            <w:tcW w:w="73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lang w:eastAsia="zh-CN"/>
              </w:rPr>
            </w:pPr>
            <w:r>
              <w:rPr>
                <w:rFonts w:hint="eastAsia" w:ascii="宋体" w:hAnsi="宋体" w:cs="宋体"/>
                <w:b/>
                <w:bCs/>
                <w:color w:val="000000"/>
                <w:kern w:val="0"/>
                <w:sz w:val="24"/>
                <w:szCs w:val="24"/>
                <w:lang w:eastAsia="zh-CN"/>
              </w:rPr>
              <w:t>免费质保年限</w:t>
            </w:r>
          </w:p>
        </w:tc>
        <w:tc>
          <w:tcPr>
            <w:tcW w:w="79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cs="宋体"/>
                <w:b/>
                <w:bCs/>
                <w:color w:val="000000"/>
                <w:kern w:val="0"/>
                <w:sz w:val="24"/>
                <w:szCs w:val="24"/>
                <w:lang w:eastAsia="zh-CN"/>
              </w:rPr>
            </w:pPr>
            <w:r>
              <w:rPr>
                <w:rFonts w:hint="eastAsia" w:ascii="宋体" w:hAnsi="宋体" w:cs="宋体"/>
                <w:b/>
                <w:bCs/>
                <w:color w:val="000000"/>
                <w:kern w:val="0"/>
                <w:sz w:val="24"/>
                <w:szCs w:val="24"/>
                <w:lang w:eastAsia="zh-CN"/>
              </w:rPr>
              <w:t>产品公司名称</w:t>
            </w:r>
          </w:p>
        </w:tc>
        <w:tc>
          <w:tcPr>
            <w:tcW w:w="629"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cs="宋体"/>
                <w:b/>
                <w:bCs/>
                <w:color w:val="000000"/>
                <w:kern w:val="0"/>
                <w:sz w:val="24"/>
                <w:szCs w:val="24"/>
                <w:lang w:eastAsia="zh-CN"/>
              </w:rPr>
            </w:pPr>
            <w:r>
              <w:rPr>
                <w:rFonts w:hint="eastAsia" w:ascii="宋体" w:hAnsi="宋体" w:cs="宋体"/>
                <w:b/>
                <w:bCs/>
                <w:color w:val="000000"/>
                <w:kern w:val="0"/>
                <w:sz w:val="24"/>
                <w:szCs w:val="24"/>
                <w:lang w:eastAsia="zh-CN"/>
              </w:rPr>
              <w:t>备注</w:t>
            </w:r>
          </w:p>
        </w:tc>
      </w:tr>
      <w:tr>
        <w:tblPrEx>
          <w:tblLayout w:type="fixed"/>
          <w:tblCellMar>
            <w:top w:w="0" w:type="dxa"/>
            <w:left w:w="108" w:type="dxa"/>
            <w:bottom w:w="0" w:type="dxa"/>
            <w:right w:w="108" w:type="dxa"/>
          </w:tblCellMar>
        </w:tblPrEx>
        <w:trPr>
          <w:trHeight w:val="597"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1</w:t>
            </w:r>
          </w:p>
        </w:tc>
        <w:tc>
          <w:tcPr>
            <w:tcW w:w="10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6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8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64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87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73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7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629"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r>
      <w:tr>
        <w:tblPrEx>
          <w:tblLayout w:type="fixed"/>
          <w:tblCellMar>
            <w:top w:w="0" w:type="dxa"/>
            <w:left w:w="108" w:type="dxa"/>
            <w:bottom w:w="0" w:type="dxa"/>
            <w:right w:w="108" w:type="dxa"/>
          </w:tblCellMar>
        </w:tblPrEx>
        <w:trPr>
          <w:trHeight w:val="582" w:hRule="atLeast"/>
        </w:trPr>
        <w:tc>
          <w:tcPr>
            <w:tcW w:w="6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10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6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8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64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87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73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7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snapToGrid/>
              <w:spacing w:line="440" w:lineRule="exact"/>
              <w:jc w:val="center"/>
              <w:textAlignment w:val="auto"/>
              <w:rPr>
                <w:rFonts w:hint="eastAsia" w:ascii="宋体" w:hAnsi="宋体" w:eastAsia="宋体" w:cs="宋体"/>
                <w:b/>
                <w:bCs/>
                <w:color w:val="000000"/>
                <w:kern w:val="0"/>
                <w:sz w:val="24"/>
                <w:szCs w:val="24"/>
              </w:rPr>
            </w:pPr>
          </w:p>
        </w:tc>
        <w:tc>
          <w:tcPr>
            <w:tcW w:w="629" w:type="dxa"/>
            <w:tcBorders>
              <w:top w:val="nil"/>
              <w:left w:val="nil"/>
              <w:bottom w:val="single" w:color="auto" w:sz="4" w:space="0"/>
              <w:right w:val="single" w:color="auto" w:sz="4" w:space="0"/>
            </w:tcBorders>
            <w:shd w:val="clear" w:color="auto" w:fill="auto"/>
            <w:vAlign w:val="center"/>
          </w:tcPr>
          <w:p>
            <w:pPr>
              <w:pStyle w:val="2"/>
              <w:rPr>
                <w:rFonts w:hint="eastAsia"/>
              </w:rPr>
            </w:pPr>
          </w:p>
        </w:tc>
      </w:tr>
    </w:tbl>
    <w:p>
      <w:pPr>
        <w:pStyle w:val="25"/>
        <w:keepNext w:val="0"/>
        <w:keepLines w:val="0"/>
        <w:pageBreakBefore w:val="0"/>
        <w:widowControl w:val="0"/>
        <w:numPr>
          <w:ilvl w:val="0"/>
          <w:numId w:val="0"/>
        </w:numPr>
        <w:kinsoku/>
        <w:wordWrap/>
        <w:overflowPunct/>
        <w:topLinePunct w:val="0"/>
        <w:autoSpaceDE/>
        <w:autoSpaceDN/>
        <w:bidi w:val="0"/>
        <w:adjustRightInd w:val="0"/>
        <w:snapToGrid/>
        <w:spacing w:before="160" w:after="160" w:line="440" w:lineRule="exact"/>
        <w:contextualSpacing/>
        <w:textAlignment w:val="auto"/>
        <w:outlineLvl w:val="9"/>
        <w:rPr>
          <w:rFonts w:hint="eastAsia"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 xml:space="preserve">     </w:t>
      </w:r>
      <w:r>
        <w:rPr>
          <w:rFonts w:hint="eastAsia" w:ascii="方正仿宋简体" w:hAnsi="方正仿宋简体" w:eastAsia="方正仿宋简体" w:cs="方正仿宋简体"/>
          <w:color w:val="FF0000"/>
          <w:sz w:val="28"/>
          <w:szCs w:val="28"/>
          <w:lang w:val="en-US" w:eastAsia="zh-CN"/>
        </w:rPr>
        <w:t>（</w:t>
      </w:r>
      <w:r>
        <w:rPr>
          <w:rFonts w:hint="eastAsia" w:ascii="方正仿宋简体" w:hAnsi="方正仿宋简体" w:eastAsia="方正仿宋简体" w:cs="方正仿宋简体"/>
          <w:b/>
          <w:bCs/>
          <w:color w:val="FF0000"/>
          <w:sz w:val="28"/>
          <w:szCs w:val="28"/>
          <w:lang w:val="en-US" w:eastAsia="zh-CN"/>
        </w:rPr>
        <w:t>注：明细表序号按照公告中论证项目的对应序号填写</w:t>
      </w:r>
      <w:r>
        <w:rPr>
          <w:rFonts w:hint="eastAsia" w:ascii="方正仿宋简体" w:hAnsi="方正仿宋简体" w:eastAsia="方正仿宋简体" w:cs="方正仿宋简体"/>
          <w:color w:val="FF0000"/>
          <w:sz w:val="28"/>
          <w:szCs w:val="28"/>
          <w:lang w:val="en-US" w:eastAsia="zh-CN"/>
        </w:rPr>
        <w:t>）</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信用承诺书（</w:t>
      </w:r>
      <w:r>
        <w:rPr>
          <w:rFonts w:hint="eastAsia" w:ascii="方正仿宋简体" w:hAnsi="方正仿宋简体" w:eastAsia="方正仿宋简体" w:cs="方正仿宋简体"/>
          <w:b/>
          <w:bCs/>
          <w:sz w:val="28"/>
          <w:szCs w:val="28"/>
        </w:rPr>
        <w:t>请填写附件1</w:t>
      </w:r>
      <w:r>
        <w:rPr>
          <w:rFonts w:hint="eastAsia" w:ascii="方正仿宋简体" w:hAnsi="方正仿宋简体" w:eastAsia="方正仿宋简体" w:cs="方正仿宋简体"/>
          <w:sz w:val="28"/>
          <w:szCs w:val="28"/>
        </w:rPr>
        <w:t>）</w:t>
      </w:r>
      <w:r>
        <w:rPr>
          <w:rFonts w:hint="eastAsia" w:ascii="方正仿宋简体" w:hAnsi="方正仿宋简体" w:eastAsia="方正仿宋简体" w:cs="方正仿宋简体"/>
          <w:sz w:val="28"/>
          <w:szCs w:val="28"/>
          <w:lang w:eastAsia="zh-CN"/>
        </w:rPr>
        <w:t>。</w:t>
      </w:r>
    </w:p>
    <w:bookmarkEnd w:id="0"/>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产品资质（包括注册证（</w:t>
      </w:r>
      <w:r>
        <w:rPr>
          <w:rFonts w:hint="eastAsia" w:ascii="方正仿宋简体" w:hAnsi="方正仿宋简体" w:eastAsia="方正仿宋简体" w:cs="方正仿宋简体"/>
          <w:b/>
          <w:bCs/>
          <w:color w:val="FF0000"/>
          <w:sz w:val="28"/>
          <w:szCs w:val="28"/>
        </w:rPr>
        <w:t>注册证如有变更文件附页请务必提供完整</w:t>
      </w:r>
      <w:r>
        <w:rPr>
          <w:rFonts w:hint="eastAsia" w:ascii="方正仿宋简体" w:hAnsi="方正仿宋简体" w:eastAsia="方正仿宋简体" w:cs="方正仿宋简体"/>
          <w:sz w:val="28"/>
          <w:szCs w:val="28"/>
        </w:rPr>
        <w:t>）、国际认证等）及简介，附一份查询注册证时的药监部门网站截图。</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提供设备生产厂家对所投产品的设计使用期限信息（如说明书、注册证、铭牌等）复印件或照片，并提供设备超出使用期限后使用可能存在潜在临床风险及法规问题。如无明确要求则请出具原厂说明文件并加盖原厂及报名公司公章。</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rPr>
        <w:t>设备铭牌！（必须提供）</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配置清单（配置清单中不得有价格显示）。</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产品技术参数。</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产品安装场地等要求（</w:t>
      </w:r>
      <w:r>
        <w:rPr>
          <w:rFonts w:hint="eastAsia" w:ascii="方正仿宋简体" w:hAnsi="方正仿宋简体" w:eastAsia="方正仿宋简体" w:cs="方正仿宋简体"/>
          <w:b/>
          <w:bCs/>
          <w:sz w:val="28"/>
          <w:szCs w:val="28"/>
        </w:rPr>
        <w:t>参考附件2填写）</w:t>
      </w:r>
      <w:r>
        <w:rPr>
          <w:rFonts w:hint="eastAsia" w:ascii="方正仿宋简体" w:hAnsi="方正仿宋简体" w:eastAsia="方正仿宋简体" w:cs="方正仿宋简体"/>
          <w:b/>
          <w:bCs/>
          <w:sz w:val="28"/>
          <w:szCs w:val="28"/>
          <w:lang w:eastAsia="zh-CN"/>
        </w:rPr>
        <w:t>。</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市场同类同档次产品的性能对比表。</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生产厂家和代理公司资质及简介。</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生产厂家授权书</w:t>
      </w:r>
      <w:r>
        <w:rPr>
          <w:rFonts w:hint="eastAsia" w:ascii="方正仿宋简体" w:hAnsi="方正仿宋简体" w:eastAsia="方正仿宋简体" w:cs="方正仿宋简体"/>
          <w:b/>
          <w:bCs/>
          <w:sz w:val="28"/>
          <w:szCs w:val="28"/>
        </w:rPr>
        <w:t>（</w:t>
      </w:r>
      <w:r>
        <w:rPr>
          <w:rFonts w:hint="eastAsia" w:ascii="方正仿宋简体" w:hAnsi="方正仿宋简体" w:eastAsia="方正仿宋简体" w:cs="方正仿宋简体"/>
          <w:b/>
          <w:bCs/>
          <w:color w:val="FF0000"/>
          <w:sz w:val="28"/>
          <w:szCs w:val="28"/>
        </w:rPr>
        <w:t>要求参与</w:t>
      </w:r>
      <w:r>
        <w:rPr>
          <w:rFonts w:hint="eastAsia" w:ascii="方正仿宋简体" w:hAnsi="方正仿宋简体" w:eastAsia="方正仿宋简体" w:cs="方正仿宋简体"/>
          <w:b/>
          <w:bCs/>
          <w:color w:val="FF0000"/>
          <w:sz w:val="28"/>
          <w:szCs w:val="28"/>
          <w:lang w:eastAsia="zh-CN"/>
        </w:rPr>
        <w:t>论证</w:t>
      </w:r>
      <w:r>
        <w:rPr>
          <w:rFonts w:hint="eastAsia" w:ascii="方正仿宋简体" w:hAnsi="方正仿宋简体" w:eastAsia="方正仿宋简体" w:cs="方正仿宋简体"/>
          <w:b/>
          <w:bCs/>
          <w:color w:val="FF0000"/>
          <w:sz w:val="28"/>
          <w:szCs w:val="28"/>
        </w:rPr>
        <w:t>调研公司至少为南京市区域代理，不接受</w:t>
      </w:r>
      <w:r>
        <w:rPr>
          <w:rFonts w:hint="eastAsia" w:ascii="方正仿宋简体" w:hAnsi="方正仿宋简体" w:eastAsia="方正仿宋简体" w:cs="方正仿宋简体"/>
          <w:b/>
          <w:bCs/>
          <w:color w:val="FF0000"/>
          <w:sz w:val="28"/>
          <w:szCs w:val="28"/>
          <w:lang w:val="en-US" w:eastAsia="zh-CN"/>
        </w:rPr>
        <w:t>南京市江宁医院</w:t>
      </w:r>
      <w:r>
        <w:rPr>
          <w:rFonts w:hint="eastAsia" w:ascii="方正仿宋简体" w:hAnsi="方正仿宋简体" w:eastAsia="方正仿宋简体" w:cs="方正仿宋简体"/>
          <w:b/>
          <w:bCs/>
          <w:color w:val="FF0000"/>
          <w:sz w:val="28"/>
          <w:szCs w:val="28"/>
        </w:rPr>
        <w:t>专项授权</w:t>
      </w:r>
      <w:r>
        <w:rPr>
          <w:rFonts w:hint="eastAsia" w:ascii="方正仿宋简体" w:hAnsi="方正仿宋简体" w:eastAsia="方正仿宋简体" w:cs="方正仿宋简体"/>
          <w:sz w:val="28"/>
          <w:szCs w:val="28"/>
        </w:rPr>
        <w:t>）、经销人员身份证复印件、经销人员在参与</w:t>
      </w:r>
      <w:r>
        <w:rPr>
          <w:rFonts w:hint="eastAsia" w:ascii="方正仿宋简体" w:hAnsi="方正仿宋简体" w:eastAsia="方正仿宋简体" w:cs="方正仿宋简体"/>
          <w:sz w:val="28"/>
          <w:szCs w:val="28"/>
          <w:lang w:eastAsia="zh-CN"/>
        </w:rPr>
        <w:t>论证</w:t>
      </w:r>
      <w:r>
        <w:rPr>
          <w:rFonts w:hint="eastAsia" w:ascii="方正仿宋简体" w:hAnsi="方正仿宋简体" w:eastAsia="方正仿宋简体" w:cs="方正仿宋简体"/>
          <w:sz w:val="28"/>
          <w:szCs w:val="28"/>
        </w:rPr>
        <w:t>比选、调研公司所缴纳社保证明（</w:t>
      </w:r>
      <w:r>
        <w:rPr>
          <w:rFonts w:hint="eastAsia" w:ascii="方正仿宋简体" w:hAnsi="方正仿宋简体" w:eastAsia="方正仿宋简体" w:cs="方正仿宋简体"/>
          <w:b/>
          <w:bCs/>
          <w:sz w:val="28"/>
          <w:szCs w:val="28"/>
        </w:rPr>
        <w:t>半年以上</w:t>
      </w:r>
      <w:r>
        <w:rPr>
          <w:rFonts w:hint="eastAsia" w:ascii="方正仿宋简体" w:hAnsi="方正仿宋简体" w:eastAsia="方正仿宋简体" w:cs="方正仿宋简体"/>
          <w:sz w:val="28"/>
          <w:szCs w:val="28"/>
        </w:rPr>
        <w:t>）。</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售后服务条款（</w:t>
      </w:r>
      <w:r>
        <w:rPr>
          <w:rFonts w:hint="eastAsia" w:ascii="方正仿宋简体" w:hAnsi="方正仿宋简体" w:eastAsia="方正仿宋简体" w:cs="方正仿宋简体"/>
          <w:b/>
          <w:bCs/>
          <w:sz w:val="28"/>
          <w:szCs w:val="28"/>
        </w:rPr>
        <w:t>请填写附件3</w:t>
      </w:r>
      <w:r>
        <w:rPr>
          <w:rFonts w:hint="eastAsia" w:ascii="方正仿宋简体" w:hAnsi="方正仿宋简体" w:eastAsia="方正仿宋简体" w:cs="方正仿宋简体"/>
          <w:sz w:val="28"/>
          <w:szCs w:val="28"/>
        </w:rPr>
        <w:t>）。</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其他医院（以三甲医院为主）中标通知书或合同及相应配置。</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用户名单、采购时间及联系人。</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宣传彩页（纸质版需要提供印刷版，打印和复印版无效；电子版需扫描彩页）。</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lang w:eastAsia="zh-CN"/>
        </w:rPr>
        <w:t>论证</w:t>
      </w:r>
      <w:r>
        <w:rPr>
          <w:rFonts w:hint="eastAsia" w:ascii="方正仿宋简体" w:hAnsi="方正仿宋简体" w:eastAsia="方正仿宋简体" w:cs="方正仿宋简体"/>
          <w:sz w:val="28"/>
          <w:szCs w:val="28"/>
        </w:rPr>
        <w:t>比选、调研材料真实性及购销廉洁声明（</w:t>
      </w:r>
      <w:r>
        <w:rPr>
          <w:rFonts w:hint="eastAsia" w:ascii="方正仿宋简体" w:hAnsi="方正仿宋简体" w:eastAsia="方正仿宋简体" w:cs="方正仿宋简体"/>
          <w:b/>
          <w:bCs/>
          <w:sz w:val="28"/>
          <w:szCs w:val="28"/>
        </w:rPr>
        <w:t>见附件4</w:t>
      </w:r>
      <w:r>
        <w:rPr>
          <w:rFonts w:hint="eastAsia" w:ascii="方正仿宋简体" w:hAnsi="方正仿宋简体" w:eastAsia="方正仿宋简体" w:cs="方正仿宋简体"/>
          <w:sz w:val="28"/>
          <w:szCs w:val="28"/>
        </w:rPr>
        <w:t>）。</w:t>
      </w:r>
    </w:p>
    <w:p>
      <w:pPr>
        <w:pStyle w:val="25"/>
        <w:keepNext w:val="0"/>
        <w:keepLines w:val="0"/>
        <w:pageBreakBefore w:val="0"/>
        <w:widowControl w:val="0"/>
        <w:numPr>
          <w:ilvl w:val="0"/>
          <w:numId w:val="3"/>
        </w:numPr>
        <w:kinsoku/>
        <w:wordWrap/>
        <w:overflowPunct/>
        <w:topLinePunct w:val="0"/>
        <w:autoSpaceDE/>
        <w:autoSpaceDN/>
        <w:bidi w:val="0"/>
        <w:adjustRightInd w:val="0"/>
        <w:snapToGrid/>
        <w:spacing w:before="160" w:after="160" w:line="440" w:lineRule="exact"/>
        <w:ind w:left="703" w:hanging="420" w:firstLineChars="0"/>
        <w:contextualSpacing/>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上述材料正本必须加盖报名公司的公章，复印公章无效。</w:t>
      </w:r>
    </w:p>
    <w:p>
      <w:pPr>
        <w:keepNext w:val="0"/>
        <w:keepLines w:val="0"/>
        <w:pageBreakBefore w:val="0"/>
        <w:widowControl w:val="0"/>
        <w:numPr>
          <w:ilvl w:val="0"/>
          <w:numId w:val="4"/>
        </w:numPr>
        <w:kinsoku/>
        <w:wordWrap/>
        <w:overflowPunct/>
        <w:topLinePunct w:val="0"/>
        <w:autoSpaceDE/>
        <w:autoSpaceDN/>
        <w:bidi w:val="0"/>
        <w:adjustRightInd/>
        <w:snapToGrid/>
        <w:spacing w:before="156" w:beforeLines="50" w:after="156" w:afterLines="50" w:line="440" w:lineRule="exact"/>
        <w:textAlignment w:val="auto"/>
        <w:outlineLvl w:val="9"/>
        <w:rPr>
          <w:rFonts w:hint="eastAsia" w:ascii="方正仿宋简体" w:hAnsi="方正仿宋简体" w:eastAsia="方正仿宋简体" w:cs="方正仿宋简体"/>
          <w:b/>
          <w:bCs/>
          <w:color w:val="000000" w:themeColor="text1"/>
          <w:sz w:val="28"/>
          <w:szCs w:val="28"/>
          <w14:textFill>
            <w14:solidFill>
              <w14:schemeClr w14:val="tx1"/>
            </w14:solidFill>
          </w14:textFill>
        </w:rPr>
      </w:pPr>
      <w:r>
        <w:rPr>
          <w:rFonts w:hint="eastAsia" w:ascii="方正仿宋简体" w:hAnsi="方正仿宋简体" w:eastAsia="方正仿宋简体" w:cs="方正仿宋简体"/>
          <w:b/>
          <w:bCs/>
          <w:color w:val="000000" w:themeColor="text1"/>
          <w:sz w:val="28"/>
          <w:szCs w:val="28"/>
          <w:lang w:eastAsia="zh-CN"/>
          <w14:textFill>
            <w14:solidFill>
              <w14:schemeClr w14:val="tx1"/>
            </w14:solidFill>
          </w14:textFill>
        </w:rPr>
        <w:t>报名</w:t>
      </w:r>
    </w:p>
    <w:p>
      <w:pPr>
        <w:pStyle w:val="25"/>
        <w:keepNext w:val="0"/>
        <w:keepLines w:val="0"/>
        <w:pageBreakBefore w:val="0"/>
        <w:widowControl w:val="0"/>
        <w:numPr>
          <w:ilvl w:val="0"/>
          <w:numId w:val="0"/>
        </w:numPr>
        <w:kinsoku/>
        <w:wordWrap/>
        <w:overflowPunct/>
        <w:topLinePunct w:val="0"/>
        <w:autoSpaceDE/>
        <w:autoSpaceDN/>
        <w:bidi w:val="0"/>
        <w:adjustRightInd w:val="0"/>
        <w:snapToGrid/>
        <w:spacing w:before="160" w:after="160" w:line="440" w:lineRule="exact"/>
        <w:ind w:left="283" w:leftChars="0"/>
        <w:contextualSpacing/>
        <w:textAlignment w:val="auto"/>
        <w:outlineLvl w:val="9"/>
        <w:rPr>
          <w:rFonts w:hint="eastAsia" w:ascii="方正仿宋简体" w:hAnsi="方正仿宋简体" w:eastAsia="方正仿宋简体" w:cs="方正仿宋简体"/>
          <w:b/>
          <w:bCs/>
          <w:sz w:val="28"/>
          <w:szCs w:val="28"/>
          <w:lang w:eastAsia="zh-CN"/>
        </w:rPr>
      </w:pPr>
      <w:r>
        <w:rPr>
          <w:rFonts w:hint="eastAsia" w:ascii="方正仿宋简体" w:hAnsi="方正仿宋简体" w:eastAsia="方正仿宋简体" w:cs="方正仿宋简体"/>
          <w:b/>
          <w:bCs/>
          <w:sz w:val="28"/>
          <w:szCs w:val="28"/>
          <w:lang w:val="en-US" w:eastAsia="zh-CN"/>
        </w:rPr>
        <w:t>1.</w:t>
      </w:r>
      <w:r>
        <w:rPr>
          <w:rFonts w:hint="eastAsia" w:ascii="方正仿宋简体" w:hAnsi="方正仿宋简体" w:eastAsia="方正仿宋简体" w:cs="方正仿宋简体"/>
          <w:b/>
          <w:bCs/>
          <w:color w:val="FF0000"/>
          <w:sz w:val="28"/>
          <w:szCs w:val="28"/>
          <w:shd w:val="clear" w:color="auto" w:fill="auto"/>
          <w:lang w:val="en-US" w:eastAsia="zh-CN"/>
        </w:rPr>
        <w:t>请报名参加供应商根据项目预算及采购需求概况（所述需求为最基本要求），鼓励推荐所投品牌最高最新版本产品。</w:t>
      </w:r>
    </w:p>
    <w:p>
      <w:pPr>
        <w:pStyle w:val="25"/>
        <w:keepNext w:val="0"/>
        <w:keepLines w:val="0"/>
        <w:pageBreakBefore w:val="0"/>
        <w:widowControl w:val="0"/>
        <w:numPr>
          <w:ilvl w:val="0"/>
          <w:numId w:val="0"/>
        </w:numPr>
        <w:kinsoku/>
        <w:wordWrap/>
        <w:overflowPunct/>
        <w:topLinePunct w:val="0"/>
        <w:autoSpaceDE/>
        <w:autoSpaceDN/>
        <w:bidi w:val="0"/>
        <w:adjustRightInd w:val="0"/>
        <w:snapToGrid/>
        <w:spacing w:before="160" w:after="160" w:line="440" w:lineRule="exact"/>
        <w:ind w:left="283" w:leftChars="0"/>
        <w:contextualSpacing/>
        <w:textAlignment w:val="auto"/>
        <w:outlineLvl w:val="9"/>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pPr>
      <w:r>
        <w:rPr>
          <w:rFonts w:hint="eastAsia" w:ascii="方正仿宋简体" w:hAnsi="方正仿宋简体" w:eastAsia="方正仿宋简体" w:cs="方正仿宋简体"/>
          <w:sz w:val="28"/>
          <w:szCs w:val="28"/>
          <w:lang w:val="en-US" w:eastAsia="zh-CN"/>
        </w:rPr>
        <w:t>2.</w:t>
      </w:r>
      <w:r>
        <w:rPr>
          <w:rFonts w:hint="eastAsia" w:ascii="方正仿宋简体" w:hAnsi="方正仿宋简体" w:eastAsia="方正仿宋简体" w:cs="方正仿宋简体"/>
          <w:color w:val="000000" w:themeColor="text1"/>
          <w:sz w:val="28"/>
          <w:szCs w:val="28"/>
          <w14:textFill>
            <w14:solidFill>
              <w14:schemeClr w14:val="tx1"/>
            </w14:solidFill>
          </w14:textFill>
        </w:rPr>
        <w:t>所投供应商需在中国境内注册、具有独立法人资格，符合相关法律法规的经销商</w:t>
      </w:r>
      <w:r>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28"/>
          <w:szCs w:val="28"/>
          <w14:textFill>
            <w14:solidFill>
              <w14:schemeClr w14:val="tx1"/>
            </w14:solidFill>
          </w14:textFill>
        </w:rPr>
        <w:t>所投供应商</w:t>
      </w:r>
      <w:r>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t>销售人员及联系人要有公司授权许可等证明资料</w:t>
      </w:r>
      <w:r>
        <w:rPr>
          <w:rFonts w:hint="eastAsia" w:ascii="方正仿宋简体" w:hAnsi="方正仿宋简体" w:eastAsia="方正仿宋简体" w:cs="方正仿宋简体"/>
          <w:b/>
          <w:bCs/>
          <w:color w:val="FF0000"/>
          <w:sz w:val="28"/>
          <w:szCs w:val="28"/>
          <w:lang w:eastAsia="zh-CN"/>
        </w:rPr>
        <w:t>（凭报名表、授权书、联系人身份证原件进行现场报名登记）</w:t>
      </w:r>
      <w:r>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t>。</w:t>
      </w:r>
    </w:p>
    <w:p>
      <w:pPr>
        <w:pStyle w:val="20"/>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outlineLvl w:val="9"/>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报名表</w:t>
      </w:r>
      <w:r>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28"/>
          <w:szCs w:val="28"/>
          <w:lang w:val="en-US" w:eastAsia="zh-CN"/>
          <w14:textFill>
            <w14:solidFill>
              <w14:schemeClr w14:val="tx1"/>
            </w14:solidFill>
          </w14:textFill>
        </w:rPr>
        <w:t>报名时填全必交</w:t>
      </w:r>
      <w:r>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t>）</w:t>
      </w:r>
    </w:p>
    <w:tbl>
      <w:tblPr>
        <w:tblStyle w:val="18"/>
        <w:tblW w:w="93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4"/>
        <w:gridCol w:w="1451"/>
        <w:gridCol w:w="1500"/>
        <w:gridCol w:w="2392"/>
        <w:gridCol w:w="1203"/>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44" w:type="dxa"/>
            <w:vAlign w:val="center"/>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outlineLvl w:val="9"/>
              <w:rPr>
                <w:rFonts w:hint="eastAsia" w:ascii="方正仿宋简体" w:hAnsi="方正仿宋简体" w:eastAsia="方正仿宋简体" w:cs="方正仿宋简体"/>
                <w:b w:val="0"/>
                <w:bCs w:val="0"/>
                <w:color w:val="000000" w:themeColor="text1"/>
                <w:sz w:val="28"/>
                <w:szCs w:val="28"/>
                <w14:textFill>
                  <w14:solidFill>
                    <w14:schemeClr w14:val="tx1"/>
                  </w14:solidFill>
                </w14:textFill>
              </w:rPr>
            </w:pPr>
            <w:r>
              <w:rPr>
                <w:rFonts w:hint="eastAsia" w:ascii="方正仿宋简体" w:hAnsi="方正仿宋简体" w:eastAsia="方正仿宋简体" w:cs="方正仿宋简体"/>
                <w:b w:val="0"/>
                <w:bCs w:val="0"/>
                <w:color w:val="000000" w:themeColor="text1"/>
                <w:sz w:val="28"/>
                <w:szCs w:val="28"/>
                <w14:textFill>
                  <w14:solidFill>
                    <w14:schemeClr w14:val="tx1"/>
                  </w14:solidFill>
                </w14:textFill>
              </w:rPr>
              <w:t>公司名称</w:t>
            </w:r>
          </w:p>
        </w:tc>
        <w:tc>
          <w:tcPr>
            <w:tcW w:w="1451" w:type="dxa"/>
            <w:vAlign w:val="center"/>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outlineLvl w:val="9"/>
              <w:rPr>
                <w:rFonts w:hint="eastAsia" w:ascii="方正仿宋简体" w:hAnsi="方正仿宋简体" w:eastAsia="方正仿宋简体" w:cs="方正仿宋简体"/>
                <w:b w:val="0"/>
                <w:bCs w:val="0"/>
                <w:color w:val="000000" w:themeColor="text1"/>
                <w:sz w:val="28"/>
                <w:szCs w:val="28"/>
                <w14:textFill>
                  <w14:solidFill>
                    <w14:schemeClr w14:val="tx1"/>
                  </w14:solidFill>
                </w14:textFill>
              </w:rPr>
            </w:pPr>
            <w:r>
              <w:rPr>
                <w:rFonts w:hint="eastAsia" w:ascii="方正仿宋简体" w:hAnsi="方正仿宋简体" w:eastAsia="方正仿宋简体" w:cs="方正仿宋简体"/>
                <w:b w:val="0"/>
                <w:bCs w:val="0"/>
                <w:color w:val="000000" w:themeColor="text1"/>
                <w:sz w:val="28"/>
                <w:szCs w:val="28"/>
                <w14:textFill>
                  <w14:solidFill>
                    <w14:schemeClr w14:val="tx1"/>
                  </w14:solidFill>
                </w14:textFill>
              </w:rPr>
              <w:t>所投产品</w:t>
            </w:r>
          </w:p>
        </w:tc>
        <w:tc>
          <w:tcPr>
            <w:tcW w:w="1500" w:type="dxa"/>
            <w:vAlign w:val="center"/>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outlineLvl w:val="9"/>
              <w:rPr>
                <w:rFonts w:hint="eastAsia" w:ascii="方正仿宋简体" w:hAnsi="方正仿宋简体" w:eastAsia="方正仿宋简体" w:cs="方正仿宋简体"/>
                <w:b w:val="0"/>
                <w:bCs w:val="0"/>
                <w:color w:val="000000" w:themeColor="text1"/>
                <w:sz w:val="28"/>
                <w:szCs w:val="28"/>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8"/>
                <w:szCs w:val="28"/>
                <w14:textFill>
                  <w14:solidFill>
                    <w14:schemeClr w14:val="tx1"/>
                  </w14:solidFill>
                </w14:textFill>
              </w:rPr>
              <w:t>分类</w:t>
            </w:r>
            <w:r>
              <w:rPr>
                <w:rFonts w:hint="eastAsia" w:ascii="方正仿宋简体" w:hAnsi="方正仿宋简体" w:eastAsia="方正仿宋简体" w:cs="方正仿宋简体"/>
                <w:b w:val="0"/>
                <w:bCs w:val="0"/>
                <w:color w:val="000000" w:themeColor="text1"/>
                <w:sz w:val="28"/>
                <w:szCs w:val="28"/>
                <w:lang w:val="en-US" w:eastAsia="zh-CN"/>
                <w14:textFill>
                  <w14:solidFill>
                    <w14:schemeClr w14:val="tx1"/>
                  </w14:solidFill>
                </w14:textFill>
              </w:rPr>
              <w:t>包号</w:t>
            </w:r>
          </w:p>
        </w:tc>
        <w:tc>
          <w:tcPr>
            <w:tcW w:w="2392" w:type="dxa"/>
            <w:vAlign w:val="center"/>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outlineLvl w:val="9"/>
              <w:rPr>
                <w:rFonts w:hint="eastAsia" w:ascii="方正仿宋简体" w:hAnsi="方正仿宋简体" w:eastAsia="方正仿宋简体" w:cs="方正仿宋简体"/>
                <w:b w:val="0"/>
                <w:bCs w:val="0"/>
                <w:color w:val="000000" w:themeColor="text1"/>
                <w:sz w:val="28"/>
                <w:szCs w:val="28"/>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8"/>
                <w:szCs w:val="28"/>
                <w:lang w:val="en-US" w:eastAsia="zh-CN"/>
                <w14:textFill>
                  <w14:solidFill>
                    <w14:schemeClr w14:val="tx1"/>
                  </w14:solidFill>
                </w14:textFill>
              </w:rPr>
              <w:t>公司</w:t>
            </w:r>
            <w:r>
              <w:rPr>
                <w:rFonts w:hint="eastAsia" w:ascii="方正仿宋简体" w:hAnsi="方正仿宋简体" w:eastAsia="方正仿宋简体" w:cs="方正仿宋简体"/>
                <w:b w:val="0"/>
                <w:bCs w:val="0"/>
                <w:color w:val="000000" w:themeColor="text1"/>
                <w:sz w:val="28"/>
                <w:szCs w:val="28"/>
                <w14:textFill>
                  <w14:solidFill>
                    <w14:schemeClr w14:val="tx1"/>
                  </w14:solidFill>
                </w14:textFill>
              </w:rPr>
              <w:t>资质</w:t>
            </w:r>
            <w:r>
              <w:rPr>
                <w:rFonts w:hint="eastAsia" w:ascii="方正仿宋简体" w:hAnsi="方正仿宋简体" w:eastAsia="方正仿宋简体" w:cs="方正仿宋简体"/>
                <w:b w:val="0"/>
                <w:bCs w:val="0"/>
                <w:color w:val="000000" w:themeColor="text1"/>
                <w:sz w:val="28"/>
                <w:szCs w:val="28"/>
                <w:lang w:eastAsia="zh-CN"/>
                <w14:textFill>
                  <w14:solidFill>
                    <w14:schemeClr w14:val="tx1"/>
                  </w14:solidFill>
                </w14:textFill>
              </w:rPr>
              <w:t>、</w:t>
            </w:r>
            <w:r>
              <w:rPr>
                <w:rFonts w:hint="eastAsia" w:ascii="方正仿宋简体" w:hAnsi="方正仿宋简体" w:eastAsia="方正仿宋简体" w:cs="方正仿宋简体"/>
                <w:b w:val="0"/>
                <w:bCs w:val="0"/>
                <w:color w:val="000000" w:themeColor="text1"/>
                <w:sz w:val="28"/>
                <w:szCs w:val="28"/>
                <w:lang w:val="en-US" w:eastAsia="zh-CN"/>
                <w14:textFill>
                  <w14:solidFill>
                    <w14:schemeClr w14:val="tx1"/>
                  </w14:solidFill>
                </w14:textFill>
              </w:rPr>
              <w:t>产品</w:t>
            </w:r>
          </w:p>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outlineLvl w:val="9"/>
              <w:rPr>
                <w:rFonts w:hint="eastAsia" w:ascii="方正仿宋简体" w:hAnsi="方正仿宋简体" w:eastAsia="方正仿宋简体" w:cs="方正仿宋简体"/>
                <w:b w:val="0"/>
                <w:bCs w:val="0"/>
                <w:color w:val="000000" w:themeColor="text1"/>
                <w:sz w:val="28"/>
                <w:szCs w:val="28"/>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8"/>
                <w:szCs w:val="28"/>
                <w:lang w:val="en-US" w:eastAsia="zh-CN"/>
                <w14:textFill>
                  <w14:solidFill>
                    <w14:schemeClr w14:val="tx1"/>
                  </w14:solidFill>
                </w14:textFill>
              </w:rPr>
              <w:t>注册证及附件</w:t>
            </w:r>
          </w:p>
        </w:tc>
        <w:tc>
          <w:tcPr>
            <w:tcW w:w="1203" w:type="dxa"/>
            <w:vAlign w:val="center"/>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outlineLvl w:val="9"/>
              <w:rPr>
                <w:rFonts w:hint="eastAsia" w:ascii="方正仿宋简体" w:hAnsi="方正仿宋简体" w:eastAsia="方正仿宋简体" w:cs="方正仿宋简体"/>
                <w:b w:val="0"/>
                <w:bCs w:val="0"/>
                <w:color w:val="000000" w:themeColor="text1"/>
                <w:sz w:val="28"/>
                <w:szCs w:val="28"/>
                <w14:textFill>
                  <w14:solidFill>
                    <w14:schemeClr w14:val="tx1"/>
                  </w14:solidFill>
                </w14:textFill>
              </w:rPr>
            </w:pPr>
            <w:r>
              <w:rPr>
                <w:rFonts w:hint="eastAsia" w:ascii="方正仿宋简体" w:hAnsi="方正仿宋简体" w:eastAsia="方正仿宋简体" w:cs="方正仿宋简体"/>
                <w:b w:val="0"/>
                <w:bCs w:val="0"/>
                <w:color w:val="000000" w:themeColor="text1"/>
                <w:sz w:val="28"/>
                <w:szCs w:val="28"/>
                <w14:textFill>
                  <w14:solidFill>
                    <w14:schemeClr w14:val="tx1"/>
                  </w14:solidFill>
                </w14:textFill>
              </w:rPr>
              <w:t>联系人</w:t>
            </w:r>
          </w:p>
        </w:tc>
        <w:tc>
          <w:tcPr>
            <w:tcW w:w="1455" w:type="dxa"/>
            <w:vAlign w:val="center"/>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outlineLvl w:val="9"/>
              <w:rPr>
                <w:rFonts w:hint="eastAsia" w:ascii="方正仿宋简体" w:hAnsi="方正仿宋简体" w:eastAsia="方正仿宋简体" w:cs="方正仿宋简体"/>
                <w:b w:val="0"/>
                <w:bCs w:val="0"/>
                <w:color w:val="000000" w:themeColor="text1"/>
                <w:sz w:val="28"/>
                <w:szCs w:val="28"/>
                <w14:textFill>
                  <w14:solidFill>
                    <w14:schemeClr w14:val="tx1"/>
                  </w14:solidFill>
                </w14:textFill>
              </w:rPr>
            </w:pPr>
            <w:r>
              <w:rPr>
                <w:rFonts w:hint="eastAsia" w:ascii="方正仿宋简体" w:hAnsi="方正仿宋简体" w:eastAsia="方正仿宋简体" w:cs="方正仿宋简体"/>
                <w:b w:val="0"/>
                <w:bCs w:val="0"/>
                <w:color w:val="000000" w:themeColor="text1"/>
                <w:sz w:val="28"/>
                <w:szCs w:val="28"/>
                <w14:textFill>
                  <w14:solidFill>
                    <w14:schemeClr w14:val="tx1"/>
                  </w14:solidFill>
                </w14:textFill>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1344"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c>
          <w:tcPr>
            <w:tcW w:w="1451"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c>
          <w:tcPr>
            <w:tcW w:w="1500"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c>
          <w:tcPr>
            <w:tcW w:w="2392"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c>
          <w:tcPr>
            <w:tcW w:w="1203"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c>
          <w:tcPr>
            <w:tcW w:w="1455"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344"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c>
          <w:tcPr>
            <w:tcW w:w="1451"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c>
          <w:tcPr>
            <w:tcW w:w="1500"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c>
          <w:tcPr>
            <w:tcW w:w="2392"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c>
          <w:tcPr>
            <w:tcW w:w="1203"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c>
          <w:tcPr>
            <w:tcW w:w="1455" w:type="dxa"/>
          </w:tcPr>
          <w:p>
            <w:pPr>
              <w:pStyle w:val="20"/>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outlineLvl w:val="9"/>
              <w:rPr>
                <w:rFonts w:hint="eastAsia" w:ascii="方正仿宋简体" w:hAnsi="方正仿宋简体" w:eastAsia="方正仿宋简体" w:cs="方正仿宋简体"/>
                <w:color w:val="000000" w:themeColor="text1"/>
                <w:sz w:val="28"/>
                <w:szCs w:val="28"/>
                <w14:textFill>
                  <w14:solidFill>
                    <w14:schemeClr w14:val="tx1"/>
                  </w14:solidFill>
                </w14:textFill>
              </w:rPr>
            </w:pPr>
          </w:p>
        </w:tc>
      </w:tr>
    </w:tbl>
    <w:p>
      <w:pPr>
        <w:pStyle w:val="20"/>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pPr>
      <w:r>
        <w:rPr>
          <w:rFonts w:hint="eastAsia" w:ascii="方正仿宋简体" w:hAnsi="方正仿宋简体" w:eastAsia="方正仿宋简体" w:cs="方正仿宋简体"/>
          <w:color w:val="000000" w:themeColor="text1"/>
          <w:sz w:val="28"/>
          <w:szCs w:val="28"/>
          <w14:textFill>
            <w14:solidFill>
              <w14:schemeClr w14:val="tx1"/>
            </w14:solidFill>
          </w14:textFill>
        </w:rPr>
        <w:t>备注</w:t>
      </w:r>
      <w:r>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28"/>
          <w:szCs w:val="28"/>
          <w14:textFill>
            <w14:solidFill>
              <w14:schemeClr w14:val="tx1"/>
            </w14:solidFill>
          </w14:textFill>
        </w:rPr>
        <w:t>报名表论证开始前现场提交</w:t>
      </w:r>
      <w:r>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t>。</w:t>
      </w:r>
    </w:p>
    <w:p>
      <w:pPr>
        <w:pStyle w:val="20"/>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default" w:ascii="方正仿宋简体" w:hAnsi="方正仿宋简体" w:eastAsia="方正仿宋简体" w:cs="方正仿宋简体"/>
          <w:b/>
          <w:bCs/>
          <w:color w:val="000000" w:themeColor="text1"/>
          <w:sz w:val="28"/>
          <w:szCs w:val="28"/>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24"/>
          <w:szCs w:val="24"/>
          <w:lang w:val="en-US" w:eastAsia="zh-CN"/>
          <w14:textFill>
            <w14:solidFill>
              <w14:schemeClr w14:val="tx1"/>
            </w14:solidFill>
          </w14:textFill>
        </w:rPr>
        <w:t>3、</w:t>
      </w:r>
      <w:r>
        <w:rPr>
          <w:rFonts w:hint="eastAsia" w:ascii="方正仿宋简体" w:hAnsi="方正仿宋简体" w:eastAsia="方正仿宋简体" w:cs="方正仿宋简体"/>
          <w:b/>
          <w:bCs/>
          <w:color w:val="FF0000"/>
          <w:sz w:val="28"/>
          <w:szCs w:val="28"/>
          <w:lang w:val="en-US" w:eastAsia="zh-CN"/>
        </w:rPr>
        <w:t>参与论证的供应商报名当天提交电子版设备论证清单，填写所投产品品牌及型号，表格样式见附后EXCEL表。</w:t>
      </w:r>
    </w:p>
    <w:p>
      <w:pPr>
        <w:pStyle w:val="20"/>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简体" w:hAnsi="方正仿宋简体" w:eastAsia="方正仿宋简体" w:cs="方正仿宋简体"/>
          <w:color w:val="000000" w:themeColor="text1"/>
          <w:sz w:val="28"/>
          <w:szCs w:val="28"/>
          <w:lang w:eastAsia="zh-CN"/>
          <w14:textFill>
            <w14:solidFill>
              <w14:schemeClr w14:val="tx1"/>
            </w14:solidFill>
          </w14:textFill>
        </w:rPr>
      </w:pPr>
    </w:p>
    <w:p>
      <w:pPr>
        <w:keepNext w:val="0"/>
        <w:keepLines w:val="0"/>
        <w:pageBreakBefore w:val="0"/>
        <w:widowControl w:val="0"/>
        <w:numPr>
          <w:ilvl w:val="0"/>
          <w:numId w:val="4"/>
        </w:numPr>
        <w:kinsoku/>
        <w:wordWrap/>
        <w:overflowPunct/>
        <w:topLinePunct w:val="0"/>
        <w:autoSpaceDE/>
        <w:autoSpaceDN/>
        <w:bidi w:val="0"/>
        <w:adjustRightInd/>
        <w:snapToGrid/>
        <w:spacing w:before="156" w:beforeLines="50" w:after="156" w:afterLines="50" w:line="440" w:lineRule="exact"/>
        <w:textAlignment w:val="auto"/>
        <w:outlineLvl w:val="9"/>
        <w:rPr>
          <w:rFonts w:hint="eastAsia" w:ascii="方正仿宋简体" w:hAnsi="方正仿宋简体" w:eastAsia="方正仿宋简体" w:cs="方正仿宋简体"/>
          <w:b/>
          <w:bCs/>
          <w:color w:val="000000" w:themeColor="text1"/>
          <w:sz w:val="28"/>
          <w:szCs w:val="28"/>
          <w14:textFill>
            <w14:solidFill>
              <w14:schemeClr w14:val="tx1"/>
            </w14:solidFill>
          </w14:textFill>
        </w:rPr>
      </w:pPr>
      <w:r>
        <w:rPr>
          <w:rFonts w:hint="eastAsia" w:ascii="方正仿宋简体" w:hAnsi="方正仿宋简体" w:eastAsia="方正仿宋简体" w:cs="方正仿宋简体"/>
          <w:b/>
          <w:bCs/>
          <w:color w:val="000000" w:themeColor="text1"/>
          <w:sz w:val="28"/>
          <w:szCs w:val="28"/>
          <w14:textFill>
            <w14:solidFill>
              <w14:schemeClr w14:val="tx1"/>
            </w14:solidFill>
          </w14:textFill>
        </w:rPr>
        <w:t>时间</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440" w:lineRule="exact"/>
        <w:textAlignment w:val="auto"/>
        <w:outlineLvl w:val="9"/>
        <w:rPr>
          <w:rFonts w:hint="eastAsia" w:ascii="方正仿宋简体" w:hAnsi="方正仿宋简体" w:eastAsia="方正仿宋简体" w:cs="方正仿宋简体"/>
          <w:color w:val="auto"/>
          <w:kern w:val="2"/>
          <w:sz w:val="28"/>
          <w:szCs w:val="28"/>
          <w:highlight w:val="none"/>
          <w:lang w:val="en-US" w:eastAsia="zh-CN" w:bidi="ar-SA"/>
        </w:rPr>
      </w:pPr>
      <w:r>
        <w:rPr>
          <w:rFonts w:hint="eastAsia" w:ascii="方正仿宋简体" w:hAnsi="方正仿宋简体" w:eastAsia="方正仿宋简体" w:cs="方正仿宋简体"/>
          <w:color w:val="000000" w:themeColor="text1"/>
          <w:kern w:val="2"/>
          <w:sz w:val="28"/>
          <w:szCs w:val="28"/>
          <w:highlight w:val="none"/>
          <w:lang w:val="en-US" w:eastAsia="zh-CN" w:bidi="ar-SA"/>
          <w14:textFill>
            <w14:solidFill>
              <w14:schemeClr w14:val="tx1"/>
            </w14:solidFill>
          </w14:textFill>
        </w:rPr>
        <w:t>1、发</w:t>
      </w:r>
      <w:r>
        <w:rPr>
          <w:rFonts w:hint="eastAsia" w:ascii="方正仿宋简体" w:hAnsi="方正仿宋简体" w:eastAsia="方正仿宋简体" w:cs="方正仿宋简体"/>
          <w:color w:val="auto"/>
          <w:kern w:val="2"/>
          <w:sz w:val="28"/>
          <w:szCs w:val="28"/>
          <w:highlight w:val="none"/>
          <w:lang w:val="en-US" w:eastAsia="zh-CN" w:bidi="ar-SA"/>
        </w:rPr>
        <w:t>布时间：2026年6月24日（星期三）</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440" w:lineRule="exact"/>
        <w:textAlignment w:val="auto"/>
        <w:outlineLvl w:val="9"/>
        <w:rPr>
          <w:rFonts w:hint="default"/>
          <w:lang w:val="en-US" w:eastAsia="zh-CN"/>
        </w:rPr>
      </w:pPr>
      <w:r>
        <w:rPr>
          <w:rFonts w:hint="eastAsia" w:ascii="方正仿宋简体" w:hAnsi="方正仿宋简体" w:eastAsia="方正仿宋简体" w:cs="方正仿宋简体"/>
          <w:color w:val="auto"/>
          <w:kern w:val="2"/>
          <w:sz w:val="28"/>
          <w:szCs w:val="28"/>
          <w:highlight w:val="none"/>
          <w:lang w:val="en-US" w:eastAsia="zh-CN" w:bidi="ar-SA"/>
        </w:rPr>
        <w:t>2、论证时间：2026年7月1日（星期三）下午2：10开始</w:t>
      </w:r>
      <w:bookmarkStart w:id="3" w:name="_GoBack"/>
      <w:bookmarkEnd w:id="3"/>
    </w:p>
    <w:p>
      <w:pPr>
        <w:keepNext w:val="0"/>
        <w:keepLines w:val="0"/>
        <w:pageBreakBefore w:val="0"/>
        <w:widowControl w:val="0"/>
        <w:kinsoku/>
        <w:wordWrap/>
        <w:overflowPunct/>
        <w:topLinePunct w:val="0"/>
        <w:autoSpaceDE/>
        <w:autoSpaceDN/>
        <w:bidi w:val="0"/>
        <w:adjustRightInd/>
        <w:snapToGrid/>
        <w:spacing w:before="156" w:beforeLines="50" w:after="156" w:afterLines="50" w:line="360" w:lineRule="exact"/>
        <w:textAlignment w:val="auto"/>
        <w:outlineLvl w:val="9"/>
        <w:rPr>
          <w:rFonts w:hint="eastAsia" w:ascii="方正仿宋简体" w:hAnsi="方正仿宋简体" w:eastAsia="方正仿宋简体" w:cs="方正仿宋简体"/>
          <w:b/>
          <w:bCs/>
          <w:sz w:val="28"/>
          <w:szCs w:val="28"/>
          <w:lang w:eastAsia="zh-CN"/>
        </w:rPr>
      </w:pPr>
      <w:r>
        <w:rPr>
          <w:rFonts w:hint="eastAsia" w:ascii="方正仿宋简体" w:hAnsi="方正仿宋简体" w:eastAsia="方正仿宋简体" w:cs="方正仿宋简体"/>
          <w:b/>
          <w:bCs/>
          <w:sz w:val="28"/>
          <w:szCs w:val="28"/>
          <w:lang w:eastAsia="zh-CN"/>
        </w:rPr>
        <w:t>六、论证</w:t>
      </w:r>
      <w:r>
        <w:rPr>
          <w:rFonts w:hint="eastAsia" w:ascii="方正仿宋简体" w:hAnsi="方正仿宋简体" w:eastAsia="方正仿宋简体" w:cs="方正仿宋简体"/>
          <w:b/>
          <w:bCs/>
          <w:sz w:val="28"/>
          <w:szCs w:val="28"/>
        </w:rPr>
        <w:t>项目</w:t>
      </w:r>
    </w:p>
    <w:p>
      <w:pPr>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eastAsia" w:ascii="方正仿宋简体" w:hAnsi="方正仿宋简体" w:eastAsia="方正仿宋简体" w:cs="方正仿宋简体"/>
          <w:b/>
          <w:bCs/>
          <w:color w:val="auto"/>
          <w:sz w:val="28"/>
          <w:szCs w:val="28"/>
          <w:lang w:val="en-US" w:eastAsia="zh-CN"/>
        </w:rPr>
      </w:pPr>
      <w:r>
        <w:rPr>
          <w:rFonts w:hint="eastAsia" w:ascii="方正仿宋简体" w:hAnsi="方正仿宋简体" w:eastAsia="方正仿宋简体" w:cs="方正仿宋简体"/>
          <w:b/>
          <w:bCs/>
          <w:color w:val="auto"/>
          <w:sz w:val="28"/>
          <w:szCs w:val="28"/>
          <w:lang w:val="en-US" w:eastAsia="zh-CN"/>
        </w:rPr>
        <w:t>包1：手术室设备及附件一批</w:t>
      </w:r>
    </w:p>
    <w:tbl>
      <w:tblPr>
        <w:tblStyle w:val="18"/>
        <w:tblW w:w="10378"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4"/>
        <w:gridCol w:w="2131"/>
        <w:gridCol w:w="4364"/>
        <w:gridCol w:w="1590"/>
        <w:gridCol w:w="14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7" w:hRule="atLeast"/>
        </w:trPr>
        <w:tc>
          <w:tcPr>
            <w:tcW w:w="814"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方正仿宋简体" w:hAnsi="方正仿宋简体" w:eastAsia="方正仿宋简体" w:cs="方正仿宋简体"/>
                <w:b w:val="0"/>
                <w:bCs w:val="0"/>
                <w:i w:val="0"/>
                <w:iCs w:val="0"/>
                <w:color w:val="000000"/>
                <w:kern w:val="0"/>
                <w:sz w:val="28"/>
                <w:szCs w:val="28"/>
                <w:u w:val="none"/>
                <w:lang w:val="en-US" w:eastAsia="zh-CN" w:bidi="ar"/>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序号</w:t>
            </w:r>
          </w:p>
        </w:tc>
        <w:tc>
          <w:tcPr>
            <w:tcW w:w="2131"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方正仿宋简体" w:hAnsi="方正仿宋简体" w:eastAsia="方正仿宋简体" w:cs="方正仿宋简体"/>
                <w:b w:val="0"/>
                <w:bCs w:val="0"/>
                <w:i w:val="0"/>
                <w:iCs w:val="0"/>
                <w:color w:val="000000"/>
                <w:kern w:val="0"/>
                <w:sz w:val="28"/>
                <w:szCs w:val="28"/>
                <w:u w:val="none"/>
                <w:lang w:val="en-US" w:eastAsia="zh-CN" w:bidi="ar"/>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科室</w:t>
            </w:r>
          </w:p>
        </w:tc>
        <w:tc>
          <w:tcPr>
            <w:tcW w:w="4364"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方正仿宋简体" w:hAnsi="方正仿宋简体" w:eastAsia="方正仿宋简体" w:cs="方正仿宋简体"/>
                <w:b w:val="0"/>
                <w:bCs w:val="0"/>
                <w:i w:val="0"/>
                <w:iCs w:val="0"/>
                <w:color w:val="000000"/>
                <w:kern w:val="0"/>
                <w:sz w:val="28"/>
                <w:szCs w:val="28"/>
                <w:u w:val="none"/>
                <w:lang w:val="en-US" w:eastAsia="zh-CN" w:bidi="ar"/>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设备名称</w:t>
            </w:r>
          </w:p>
        </w:tc>
        <w:tc>
          <w:tcPr>
            <w:tcW w:w="1590" w:type="dxa"/>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方正仿宋简体" w:hAnsi="方正仿宋简体" w:eastAsia="方正仿宋简体" w:cs="方正仿宋简体"/>
                <w:b w:val="0"/>
                <w:bCs w:val="0"/>
                <w:i w:val="0"/>
                <w:iCs w:val="0"/>
                <w:color w:val="000000"/>
                <w:kern w:val="0"/>
                <w:sz w:val="28"/>
                <w:szCs w:val="28"/>
                <w:u w:val="none"/>
                <w:lang w:val="en-US" w:eastAsia="zh-CN" w:bidi="ar"/>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需求数量    （台、套）</w:t>
            </w:r>
          </w:p>
        </w:tc>
        <w:tc>
          <w:tcPr>
            <w:tcW w:w="1479" w:type="dxa"/>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方正仿宋简体" w:hAnsi="方正仿宋简体" w:eastAsia="方正仿宋简体" w:cs="方正仿宋简体"/>
                <w:b w:val="0"/>
                <w:bCs w:val="0"/>
                <w:i w:val="0"/>
                <w:iCs w:val="0"/>
                <w:color w:val="000000"/>
                <w:kern w:val="0"/>
                <w:sz w:val="28"/>
                <w:szCs w:val="28"/>
                <w:u w:val="none"/>
                <w:lang w:val="en-US" w:eastAsia="zh-CN" w:bidi="ar"/>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预算价格  （万元）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4" w:hRule="atLeast"/>
        </w:trPr>
        <w:tc>
          <w:tcPr>
            <w:tcW w:w="814" w:type="dxa"/>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方正仿宋简体" w:hAnsi="方正仿宋简体" w:eastAsia="方正仿宋简体" w:cs="方正仿宋简体"/>
                <w:b w:val="0"/>
                <w:bCs w:val="0"/>
                <w:i w:val="0"/>
                <w:iCs w:val="0"/>
                <w:color w:val="000000"/>
                <w:sz w:val="28"/>
                <w:szCs w:val="28"/>
                <w:u w:val="none"/>
                <w:lang w:val="en-US" w:eastAsia="zh-CN"/>
              </w:rPr>
            </w:pPr>
            <w:r>
              <w:rPr>
                <w:rFonts w:hint="eastAsia" w:ascii="方正仿宋简体" w:hAnsi="方正仿宋简体" w:eastAsia="方正仿宋简体" w:cs="方正仿宋简体"/>
                <w:b w:val="0"/>
                <w:bCs w:val="0"/>
                <w:i w:val="0"/>
                <w:iCs w:val="0"/>
                <w:color w:val="000000"/>
                <w:sz w:val="28"/>
                <w:szCs w:val="28"/>
                <w:u w:val="none"/>
                <w:lang w:val="en-US" w:eastAsia="zh-CN"/>
              </w:rPr>
              <w:t>1</w:t>
            </w:r>
          </w:p>
        </w:tc>
        <w:tc>
          <w:tcPr>
            <w:tcW w:w="2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介入中心</w:t>
            </w:r>
          </w:p>
        </w:tc>
        <w:tc>
          <w:tcPr>
            <w:tcW w:w="43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default" w:ascii="方正仿宋简体" w:hAnsi="方正仿宋简体" w:eastAsia="方正仿宋简体" w:cs="方正仿宋简体"/>
                <w:i w:val="0"/>
                <w:iCs w:val="0"/>
                <w:color w:val="000000"/>
                <w:kern w:val="0"/>
                <w:sz w:val="28"/>
                <w:szCs w:val="28"/>
                <w:u w:val="none"/>
                <w:lang w:val="en-US" w:eastAsia="zh-CN" w:bidi="ar"/>
              </w:rPr>
              <w:t>机械双臂麻醉吊塔</w:t>
            </w:r>
          </w:p>
        </w:tc>
        <w:tc>
          <w:tcPr>
            <w:tcW w:w="1590"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default" w:ascii="方正仿宋简体" w:hAnsi="方正仿宋简体" w:eastAsia="方正仿宋简体" w:cs="方正仿宋简体"/>
                <w:i w:val="0"/>
                <w:iCs w:val="0"/>
                <w:color w:val="000000"/>
                <w:kern w:val="0"/>
                <w:sz w:val="28"/>
                <w:szCs w:val="28"/>
                <w:u w:val="none"/>
                <w:lang w:val="en-US" w:eastAsia="zh-CN" w:bidi="ar"/>
              </w:rPr>
              <w:t>2</w:t>
            </w:r>
          </w:p>
        </w:tc>
        <w:tc>
          <w:tcPr>
            <w:tcW w:w="1479" w:type="dxa"/>
            <w:vMerge w:val="restart"/>
            <w:tcBorders>
              <w:top w:val="single" w:color="000000"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413.20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4" w:hRule="atLeast"/>
        </w:trPr>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方正仿宋简体" w:hAnsi="方正仿宋简体" w:eastAsia="方正仿宋简体" w:cs="方正仿宋简体"/>
                <w:b w:val="0"/>
                <w:bCs w:val="0"/>
                <w:i w:val="0"/>
                <w:iCs w:val="0"/>
                <w:color w:val="000000"/>
                <w:sz w:val="28"/>
                <w:szCs w:val="28"/>
                <w:u w:val="none"/>
                <w:lang w:val="en-US" w:eastAsia="zh-CN"/>
              </w:rPr>
            </w:pPr>
            <w:r>
              <w:rPr>
                <w:rFonts w:hint="eastAsia" w:ascii="方正仿宋简体" w:hAnsi="方正仿宋简体" w:eastAsia="方正仿宋简体" w:cs="方正仿宋简体"/>
                <w:b w:val="0"/>
                <w:bCs w:val="0"/>
                <w:i w:val="0"/>
                <w:iCs w:val="0"/>
                <w:color w:val="000000"/>
                <w:sz w:val="28"/>
                <w:szCs w:val="28"/>
                <w:u w:val="none"/>
                <w:lang w:val="en-US" w:eastAsia="zh-CN"/>
              </w:rPr>
              <w:t>2</w:t>
            </w:r>
          </w:p>
        </w:tc>
        <w:tc>
          <w:tcPr>
            <w:tcW w:w="2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急诊科</w:t>
            </w:r>
          </w:p>
        </w:tc>
        <w:tc>
          <w:tcPr>
            <w:tcW w:w="43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医疗柱</w:t>
            </w:r>
          </w:p>
        </w:tc>
        <w:tc>
          <w:tcPr>
            <w:tcW w:w="1590"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default" w:ascii="方正仿宋简体" w:hAnsi="方正仿宋简体" w:eastAsia="方正仿宋简体" w:cs="方正仿宋简体"/>
                <w:i w:val="0"/>
                <w:iCs w:val="0"/>
                <w:color w:val="000000"/>
                <w:kern w:val="0"/>
                <w:sz w:val="28"/>
                <w:szCs w:val="28"/>
                <w:u w:val="none"/>
                <w:lang w:val="en-US" w:eastAsia="zh-CN" w:bidi="ar"/>
              </w:rPr>
              <w:t>5</w:t>
            </w:r>
          </w:p>
        </w:tc>
        <w:tc>
          <w:tcPr>
            <w:tcW w:w="1479"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4" w:hRule="atLeast"/>
        </w:trPr>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方正仿宋简体" w:hAnsi="方正仿宋简体" w:eastAsia="方正仿宋简体" w:cs="方正仿宋简体"/>
                <w:b w:val="0"/>
                <w:bCs w:val="0"/>
                <w:i w:val="0"/>
                <w:iCs w:val="0"/>
                <w:color w:val="000000"/>
                <w:sz w:val="28"/>
                <w:szCs w:val="28"/>
                <w:u w:val="none"/>
                <w:lang w:val="en-US" w:eastAsia="zh-CN"/>
              </w:rPr>
            </w:pPr>
            <w:r>
              <w:rPr>
                <w:rFonts w:hint="eastAsia" w:ascii="方正仿宋简体" w:hAnsi="方正仿宋简体" w:eastAsia="方正仿宋简体" w:cs="方正仿宋简体"/>
                <w:b w:val="0"/>
                <w:bCs w:val="0"/>
                <w:i w:val="0"/>
                <w:iCs w:val="0"/>
                <w:color w:val="000000"/>
                <w:sz w:val="28"/>
                <w:szCs w:val="28"/>
                <w:u w:val="none"/>
                <w:lang w:val="en-US" w:eastAsia="zh-CN"/>
              </w:rPr>
              <w:t>3</w:t>
            </w:r>
          </w:p>
        </w:tc>
        <w:tc>
          <w:tcPr>
            <w:tcW w:w="2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急诊科</w:t>
            </w:r>
          </w:p>
        </w:tc>
        <w:tc>
          <w:tcPr>
            <w:tcW w:w="43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双臂吊塔</w:t>
            </w:r>
          </w:p>
        </w:tc>
        <w:tc>
          <w:tcPr>
            <w:tcW w:w="1590"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default" w:ascii="方正仿宋简体" w:hAnsi="方正仿宋简体" w:eastAsia="方正仿宋简体" w:cs="方正仿宋简体"/>
                <w:i w:val="0"/>
                <w:iCs w:val="0"/>
                <w:color w:val="000000"/>
                <w:kern w:val="0"/>
                <w:sz w:val="28"/>
                <w:szCs w:val="28"/>
                <w:u w:val="none"/>
                <w:lang w:val="en-US" w:eastAsia="zh-CN" w:bidi="ar"/>
              </w:rPr>
              <w:t>2</w:t>
            </w:r>
          </w:p>
        </w:tc>
        <w:tc>
          <w:tcPr>
            <w:tcW w:w="1479"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4" w:hRule="atLeast"/>
        </w:trPr>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方正仿宋简体" w:hAnsi="方正仿宋简体" w:eastAsia="方正仿宋简体" w:cs="方正仿宋简体"/>
                <w:b w:val="0"/>
                <w:bCs w:val="0"/>
                <w:i w:val="0"/>
                <w:iCs w:val="0"/>
                <w:color w:val="000000"/>
                <w:sz w:val="28"/>
                <w:szCs w:val="28"/>
                <w:u w:val="none"/>
                <w:lang w:val="en-US" w:eastAsia="zh-CN"/>
              </w:rPr>
            </w:pPr>
            <w:r>
              <w:rPr>
                <w:rFonts w:hint="eastAsia" w:ascii="方正仿宋简体" w:hAnsi="方正仿宋简体" w:eastAsia="方正仿宋简体" w:cs="方正仿宋简体"/>
                <w:b w:val="0"/>
                <w:bCs w:val="0"/>
                <w:i w:val="0"/>
                <w:iCs w:val="0"/>
                <w:color w:val="000000"/>
                <w:sz w:val="28"/>
                <w:szCs w:val="28"/>
                <w:u w:val="none"/>
                <w:lang w:val="en-US" w:eastAsia="zh-CN"/>
              </w:rPr>
              <w:t>4</w:t>
            </w:r>
          </w:p>
        </w:tc>
        <w:tc>
          <w:tcPr>
            <w:tcW w:w="2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手术室</w:t>
            </w:r>
          </w:p>
        </w:tc>
        <w:tc>
          <w:tcPr>
            <w:tcW w:w="43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机械双臂麻醉吊塔</w:t>
            </w:r>
          </w:p>
        </w:tc>
        <w:tc>
          <w:tcPr>
            <w:tcW w:w="1590"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default" w:ascii="方正仿宋简体" w:hAnsi="方正仿宋简体" w:eastAsia="方正仿宋简体" w:cs="方正仿宋简体"/>
                <w:i w:val="0"/>
                <w:iCs w:val="0"/>
                <w:color w:val="000000"/>
                <w:kern w:val="0"/>
                <w:sz w:val="28"/>
                <w:szCs w:val="28"/>
                <w:u w:val="none"/>
                <w:lang w:val="en-US" w:eastAsia="zh-CN" w:bidi="ar"/>
              </w:rPr>
              <w:t>10</w:t>
            </w:r>
          </w:p>
        </w:tc>
        <w:tc>
          <w:tcPr>
            <w:tcW w:w="1479"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4" w:hRule="atLeast"/>
        </w:trPr>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方正仿宋简体" w:hAnsi="方正仿宋简体" w:eastAsia="方正仿宋简体" w:cs="方正仿宋简体"/>
                <w:b w:val="0"/>
                <w:bCs w:val="0"/>
                <w:i w:val="0"/>
                <w:iCs w:val="0"/>
                <w:color w:val="000000"/>
                <w:sz w:val="28"/>
                <w:szCs w:val="28"/>
                <w:u w:val="none"/>
                <w:lang w:val="en-US" w:eastAsia="zh-CN"/>
              </w:rPr>
            </w:pPr>
            <w:r>
              <w:rPr>
                <w:rFonts w:hint="eastAsia" w:ascii="方正仿宋简体" w:hAnsi="方正仿宋简体" w:eastAsia="方正仿宋简体" w:cs="方正仿宋简体"/>
                <w:b w:val="0"/>
                <w:bCs w:val="0"/>
                <w:i w:val="0"/>
                <w:iCs w:val="0"/>
                <w:color w:val="000000"/>
                <w:sz w:val="28"/>
                <w:szCs w:val="28"/>
                <w:u w:val="none"/>
                <w:lang w:val="en-US" w:eastAsia="zh-CN"/>
              </w:rPr>
              <w:t>5</w:t>
            </w:r>
          </w:p>
        </w:tc>
        <w:tc>
          <w:tcPr>
            <w:tcW w:w="2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手术室</w:t>
            </w:r>
          </w:p>
        </w:tc>
        <w:tc>
          <w:tcPr>
            <w:tcW w:w="43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电动双臂腔镜吊塔</w:t>
            </w:r>
          </w:p>
        </w:tc>
        <w:tc>
          <w:tcPr>
            <w:tcW w:w="1590"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default" w:ascii="方正仿宋简体" w:hAnsi="方正仿宋简体" w:eastAsia="方正仿宋简体" w:cs="方正仿宋简体"/>
                <w:i w:val="0"/>
                <w:iCs w:val="0"/>
                <w:color w:val="000000"/>
                <w:kern w:val="0"/>
                <w:sz w:val="28"/>
                <w:szCs w:val="28"/>
                <w:u w:val="none"/>
                <w:lang w:val="en-US" w:eastAsia="zh-CN" w:bidi="ar"/>
              </w:rPr>
              <w:t>4</w:t>
            </w:r>
          </w:p>
        </w:tc>
        <w:tc>
          <w:tcPr>
            <w:tcW w:w="1479"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4" w:hRule="atLeast"/>
        </w:trPr>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方正仿宋简体" w:hAnsi="方正仿宋简体" w:eastAsia="方正仿宋简体" w:cs="方正仿宋简体"/>
                <w:b w:val="0"/>
                <w:bCs w:val="0"/>
                <w:i w:val="0"/>
                <w:iCs w:val="0"/>
                <w:color w:val="000000"/>
                <w:sz w:val="28"/>
                <w:szCs w:val="28"/>
                <w:u w:val="none"/>
                <w:lang w:val="en-US" w:eastAsia="zh-CN"/>
              </w:rPr>
            </w:pPr>
            <w:r>
              <w:rPr>
                <w:rFonts w:hint="eastAsia" w:ascii="方正仿宋简体" w:hAnsi="方正仿宋简体" w:eastAsia="方正仿宋简体" w:cs="方正仿宋简体"/>
                <w:b w:val="0"/>
                <w:bCs w:val="0"/>
                <w:i w:val="0"/>
                <w:iCs w:val="0"/>
                <w:color w:val="000000"/>
                <w:sz w:val="28"/>
                <w:szCs w:val="28"/>
                <w:u w:val="none"/>
                <w:lang w:val="en-US" w:eastAsia="zh-CN"/>
              </w:rPr>
              <w:t>6</w:t>
            </w:r>
          </w:p>
        </w:tc>
        <w:tc>
          <w:tcPr>
            <w:tcW w:w="2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default" w:ascii="方正仿宋简体" w:hAnsi="方正仿宋简体" w:eastAsia="方正仿宋简体" w:cs="方正仿宋简体"/>
                <w:i w:val="0"/>
                <w:iCs w:val="0"/>
                <w:color w:val="000000"/>
                <w:kern w:val="0"/>
                <w:sz w:val="28"/>
                <w:szCs w:val="28"/>
                <w:u w:val="none"/>
                <w:lang w:val="en-US" w:eastAsia="zh-CN" w:bidi="ar"/>
              </w:rPr>
              <w:t>ICU</w:t>
            </w:r>
          </w:p>
        </w:tc>
        <w:tc>
          <w:tcPr>
            <w:tcW w:w="43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双吊柱吊桥</w:t>
            </w:r>
          </w:p>
        </w:tc>
        <w:tc>
          <w:tcPr>
            <w:tcW w:w="1590"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default" w:ascii="方正仿宋简体" w:hAnsi="方正仿宋简体" w:eastAsia="方正仿宋简体" w:cs="方正仿宋简体"/>
                <w:i w:val="0"/>
                <w:iCs w:val="0"/>
                <w:color w:val="000000"/>
                <w:kern w:val="0"/>
                <w:sz w:val="28"/>
                <w:szCs w:val="28"/>
                <w:u w:val="none"/>
                <w:lang w:val="en-US" w:eastAsia="zh-CN" w:bidi="ar"/>
              </w:rPr>
              <w:t>18</w:t>
            </w:r>
          </w:p>
        </w:tc>
        <w:tc>
          <w:tcPr>
            <w:tcW w:w="1479"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4" w:hRule="atLeast"/>
        </w:trPr>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方正仿宋简体" w:hAnsi="方正仿宋简体" w:eastAsia="方正仿宋简体" w:cs="方正仿宋简体"/>
                <w:b w:val="0"/>
                <w:bCs w:val="0"/>
                <w:i w:val="0"/>
                <w:iCs w:val="0"/>
                <w:color w:val="000000"/>
                <w:sz w:val="28"/>
                <w:szCs w:val="28"/>
                <w:u w:val="none"/>
                <w:lang w:val="en-US" w:eastAsia="zh-CN"/>
              </w:rPr>
            </w:pPr>
            <w:r>
              <w:rPr>
                <w:rFonts w:hint="eastAsia" w:ascii="方正仿宋简体" w:hAnsi="方正仿宋简体" w:eastAsia="方正仿宋简体" w:cs="方正仿宋简体"/>
                <w:b w:val="0"/>
                <w:bCs w:val="0"/>
                <w:i w:val="0"/>
                <w:iCs w:val="0"/>
                <w:color w:val="000000"/>
                <w:sz w:val="28"/>
                <w:szCs w:val="28"/>
                <w:u w:val="none"/>
                <w:lang w:val="en-US" w:eastAsia="zh-CN"/>
              </w:rPr>
              <w:t>7</w:t>
            </w:r>
          </w:p>
        </w:tc>
        <w:tc>
          <w:tcPr>
            <w:tcW w:w="2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default" w:ascii="方正仿宋简体" w:hAnsi="方正仿宋简体" w:eastAsia="方正仿宋简体" w:cs="方正仿宋简体"/>
                <w:i w:val="0"/>
                <w:iCs w:val="0"/>
                <w:color w:val="000000"/>
                <w:kern w:val="0"/>
                <w:sz w:val="28"/>
                <w:szCs w:val="28"/>
                <w:u w:val="none"/>
                <w:lang w:val="en-US" w:eastAsia="zh-CN" w:bidi="ar"/>
              </w:rPr>
              <w:t>CRCU</w:t>
            </w:r>
          </w:p>
        </w:tc>
        <w:tc>
          <w:tcPr>
            <w:tcW w:w="43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单臂吊塔</w:t>
            </w:r>
          </w:p>
        </w:tc>
        <w:tc>
          <w:tcPr>
            <w:tcW w:w="1590"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default" w:ascii="方正仿宋简体" w:hAnsi="方正仿宋简体" w:eastAsia="方正仿宋简体" w:cs="方正仿宋简体"/>
                <w:i w:val="0"/>
                <w:iCs w:val="0"/>
                <w:color w:val="000000"/>
                <w:kern w:val="0"/>
                <w:sz w:val="28"/>
                <w:szCs w:val="28"/>
                <w:u w:val="none"/>
                <w:lang w:val="en-US" w:eastAsia="zh-CN" w:bidi="ar"/>
              </w:rPr>
              <w:t>30</w:t>
            </w:r>
          </w:p>
        </w:tc>
        <w:tc>
          <w:tcPr>
            <w:tcW w:w="1479" w:type="dxa"/>
            <w:vMerge w:val="continue"/>
            <w:tcBorders>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4" w:hRule="atLeast"/>
        </w:trPr>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方正仿宋简体" w:hAnsi="方正仿宋简体" w:eastAsia="方正仿宋简体" w:cs="方正仿宋简体"/>
                <w:b w:val="0"/>
                <w:bCs w:val="0"/>
                <w:i w:val="0"/>
                <w:iCs w:val="0"/>
                <w:color w:val="000000"/>
                <w:sz w:val="28"/>
                <w:szCs w:val="28"/>
                <w:u w:val="none"/>
                <w:lang w:val="en-US" w:eastAsia="zh-CN"/>
              </w:rPr>
            </w:pPr>
            <w:r>
              <w:rPr>
                <w:rFonts w:hint="eastAsia" w:ascii="方正仿宋简体" w:hAnsi="方正仿宋简体" w:eastAsia="方正仿宋简体" w:cs="方正仿宋简体"/>
                <w:b w:val="0"/>
                <w:bCs w:val="0"/>
                <w:i w:val="0"/>
                <w:iCs w:val="0"/>
                <w:color w:val="000000"/>
                <w:sz w:val="28"/>
                <w:szCs w:val="28"/>
                <w:u w:val="none"/>
                <w:lang w:val="en-US" w:eastAsia="zh-CN"/>
              </w:rPr>
              <w:t>8</w:t>
            </w:r>
          </w:p>
        </w:tc>
        <w:tc>
          <w:tcPr>
            <w:tcW w:w="2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介入中心</w:t>
            </w:r>
          </w:p>
        </w:tc>
        <w:tc>
          <w:tcPr>
            <w:tcW w:w="43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加长臂单头无影灯</w:t>
            </w:r>
          </w:p>
        </w:tc>
        <w:tc>
          <w:tcPr>
            <w:tcW w:w="1590"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2</w:t>
            </w:r>
          </w:p>
        </w:tc>
        <w:tc>
          <w:tcPr>
            <w:tcW w:w="1479" w:type="dxa"/>
            <w:vMerge w:val="restart"/>
            <w:tcBorders>
              <w:top w:val="single" w:color="000000"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141.50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4" w:hRule="atLeast"/>
        </w:trPr>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方正仿宋简体" w:hAnsi="方正仿宋简体" w:eastAsia="方正仿宋简体" w:cs="方正仿宋简体"/>
                <w:b w:val="0"/>
                <w:bCs w:val="0"/>
                <w:i w:val="0"/>
                <w:iCs w:val="0"/>
                <w:color w:val="000000"/>
                <w:sz w:val="28"/>
                <w:szCs w:val="28"/>
                <w:u w:val="none"/>
                <w:lang w:val="en-US" w:eastAsia="zh-CN"/>
              </w:rPr>
            </w:pPr>
            <w:r>
              <w:rPr>
                <w:rFonts w:hint="eastAsia" w:ascii="方正仿宋简体" w:hAnsi="方正仿宋简体" w:eastAsia="方正仿宋简体" w:cs="方正仿宋简体"/>
                <w:b w:val="0"/>
                <w:bCs w:val="0"/>
                <w:i w:val="0"/>
                <w:iCs w:val="0"/>
                <w:color w:val="000000"/>
                <w:sz w:val="28"/>
                <w:szCs w:val="28"/>
                <w:u w:val="none"/>
                <w:lang w:val="en-US" w:eastAsia="zh-CN"/>
              </w:rPr>
              <w:t>9</w:t>
            </w:r>
          </w:p>
        </w:tc>
        <w:tc>
          <w:tcPr>
            <w:tcW w:w="2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手术室</w:t>
            </w:r>
          </w:p>
        </w:tc>
        <w:tc>
          <w:tcPr>
            <w:tcW w:w="43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双头无影灯</w:t>
            </w:r>
          </w:p>
        </w:tc>
        <w:tc>
          <w:tcPr>
            <w:tcW w:w="1590"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9</w:t>
            </w:r>
          </w:p>
        </w:tc>
        <w:tc>
          <w:tcPr>
            <w:tcW w:w="1479"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4" w:hRule="atLeast"/>
        </w:trPr>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方正仿宋简体" w:hAnsi="方正仿宋简体" w:eastAsia="方正仿宋简体" w:cs="方正仿宋简体"/>
                <w:b w:val="0"/>
                <w:bCs w:val="0"/>
                <w:i w:val="0"/>
                <w:iCs w:val="0"/>
                <w:color w:val="000000"/>
                <w:sz w:val="28"/>
                <w:szCs w:val="28"/>
                <w:u w:val="none"/>
                <w:lang w:val="en-US" w:eastAsia="zh-CN"/>
              </w:rPr>
            </w:pPr>
            <w:r>
              <w:rPr>
                <w:rFonts w:hint="eastAsia" w:ascii="方正仿宋简体" w:hAnsi="方正仿宋简体" w:eastAsia="方正仿宋简体" w:cs="方正仿宋简体"/>
                <w:b w:val="0"/>
                <w:bCs w:val="0"/>
                <w:i w:val="0"/>
                <w:iCs w:val="0"/>
                <w:color w:val="000000"/>
                <w:sz w:val="28"/>
                <w:szCs w:val="28"/>
                <w:u w:val="none"/>
                <w:lang w:val="en-US" w:eastAsia="zh-CN"/>
              </w:rPr>
              <w:t>10</w:t>
            </w:r>
          </w:p>
        </w:tc>
        <w:tc>
          <w:tcPr>
            <w:tcW w:w="2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手术室</w:t>
            </w:r>
          </w:p>
        </w:tc>
        <w:tc>
          <w:tcPr>
            <w:tcW w:w="43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加长臂单头无影灯</w:t>
            </w:r>
          </w:p>
        </w:tc>
        <w:tc>
          <w:tcPr>
            <w:tcW w:w="1590"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2</w:t>
            </w:r>
          </w:p>
        </w:tc>
        <w:tc>
          <w:tcPr>
            <w:tcW w:w="1479" w:type="dxa"/>
            <w:vMerge w:val="continue"/>
            <w:tcBorders>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4" w:hRule="atLeast"/>
        </w:trPr>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方正仿宋简体" w:hAnsi="方正仿宋简体" w:eastAsia="方正仿宋简体" w:cs="方正仿宋简体"/>
                <w:b w:val="0"/>
                <w:bCs w:val="0"/>
                <w:i w:val="0"/>
                <w:iCs w:val="0"/>
                <w:color w:val="000000"/>
                <w:sz w:val="28"/>
                <w:szCs w:val="28"/>
                <w:u w:val="none"/>
                <w:lang w:val="en-US" w:eastAsia="zh-CN"/>
              </w:rPr>
            </w:pPr>
            <w:r>
              <w:rPr>
                <w:rFonts w:hint="eastAsia" w:ascii="方正仿宋简体" w:hAnsi="方正仿宋简体" w:eastAsia="方正仿宋简体" w:cs="方正仿宋简体"/>
                <w:b w:val="0"/>
                <w:bCs w:val="0"/>
                <w:i w:val="0"/>
                <w:iCs w:val="0"/>
                <w:color w:val="000000"/>
                <w:sz w:val="28"/>
                <w:szCs w:val="28"/>
                <w:u w:val="none"/>
                <w:lang w:val="en-US" w:eastAsia="zh-CN"/>
              </w:rPr>
              <w:t>11</w:t>
            </w:r>
          </w:p>
        </w:tc>
        <w:tc>
          <w:tcPr>
            <w:tcW w:w="2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default" w:ascii="方正仿宋简体" w:hAnsi="方正仿宋简体" w:eastAsia="方正仿宋简体" w:cs="方正仿宋简体"/>
                <w:i w:val="0"/>
                <w:iCs w:val="0"/>
                <w:color w:val="000000"/>
                <w:kern w:val="0"/>
                <w:sz w:val="28"/>
                <w:szCs w:val="28"/>
                <w:u w:val="none"/>
                <w:lang w:val="en-US" w:eastAsia="zh-CN" w:bidi="ar"/>
              </w:rPr>
              <w:t>手术室</w:t>
            </w:r>
          </w:p>
        </w:tc>
        <w:tc>
          <w:tcPr>
            <w:tcW w:w="43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default" w:ascii="方正仿宋简体" w:hAnsi="方正仿宋简体" w:eastAsia="方正仿宋简体" w:cs="方正仿宋简体"/>
                <w:i w:val="0"/>
                <w:iCs w:val="0"/>
                <w:color w:val="000000"/>
                <w:kern w:val="0"/>
                <w:sz w:val="28"/>
                <w:szCs w:val="28"/>
                <w:u w:val="none"/>
                <w:lang w:val="en-US" w:eastAsia="zh-CN" w:bidi="ar"/>
              </w:rPr>
              <w:t>骨科</w:t>
            </w:r>
            <w:r>
              <w:rPr>
                <w:rFonts w:hint="eastAsia" w:ascii="方正仿宋简体" w:hAnsi="方正仿宋简体" w:eastAsia="方正仿宋简体" w:cs="方正仿宋简体"/>
                <w:i w:val="0"/>
                <w:iCs w:val="0"/>
                <w:color w:val="000000"/>
                <w:kern w:val="0"/>
                <w:sz w:val="28"/>
                <w:szCs w:val="28"/>
                <w:u w:val="none"/>
                <w:lang w:val="en-US" w:eastAsia="zh-CN" w:bidi="ar"/>
              </w:rPr>
              <w:t>手术</w:t>
            </w:r>
            <w:r>
              <w:rPr>
                <w:rFonts w:hint="default" w:ascii="方正仿宋简体" w:hAnsi="方正仿宋简体" w:eastAsia="方正仿宋简体" w:cs="方正仿宋简体"/>
                <w:i w:val="0"/>
                <w:iCs w:val="0"/>
                <w:color w:val="000000"/>
                <w:kern w:val="0"/>
                <w:sz w:val="28"/>
                <w:szCs w:val="28"/>
                <w:u w:val="none"/>
                <w:lang w:val="en-US" w:eastAsia="zh-CN" w:bidi="ar"/>
              </w:rPr>
              <w:t>床</w:t>
            </w:r>
          </w:p>
        </w:tc>
        <w:tc>
          <w:tcPr>
            <w:tcW w:w="1590"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1</w:t>
            </w:r>
          </w:p>
        </w:tc>
        <w:tc>
          <w:tcPr>
            <w:tcW w:w="1479" w:type="dxa"/>
            <w:vMerge w:val="restart"/>
            <w:tcBorders>
              <w:top w:val="single" w:color="000000"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69.50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4" w:hRule="atLeast"/>
        </w:trPr>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方正仿宋简体" w:hAnsi="方正仿宋简体" w:eastAsia="方正仿宋简体" w:cs="方正仿宋简体"/>
                <w:b w:val="0"/>
                <w:bCs w:val="0"/>
                <w:i w:val="0"/>
                <w:iCs w:val="0"/>
                <w:color w:val="000000"/>
                <w:sz w:val="28"/>
                <w:szCs w:val="28"/>
                <w:u w:val="none"/>
                <w:lang w:val="en-US" w:eastAsia="zh-CN"/>
              </w:rPr>
            </w:pPr>
            <w:r>
              <w:rPr>
                <w:rFonts w:hint="eastAsia" w:ascii="方正仿宋简体" w:hAnsi="方正仿宋简体" w:eastAsia="方正仿宋简体" w:cs="方正仿宋简体"/>
                <w:b w:val="0"/>
                <w:bCs w:val="0"/>
                <w:i w:val="0"/>
                <w:iCs w:val="0"/>
                <w:color w:val="000000"/>
                <w:sz w:val="28"/>
                <w:szCs w:val="28"/>
                <w:u w:val="none"/>
                <w:lang w:val="en-US" w:eastAsia="zh-CN"/>
              </w:rPr>
              <w:t>12</w:t>
            </w:r>
          </w:p>
        </w:tc>
        <w:tc>
          <w:tcPr>
            <w:tcW w:w="2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手术室</w:t>
            </w:r>
          </w:p>
        </w:tc>
        <w:tc>
          <w:tcPr>
            <w:tcW w:w="43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default" w:ascii="方正仿宋简体" w:hAnsi="方正仿宋简体" w:eastAsia="方正仿宋简体" w:cs="方正仿宋简体"/>
                <w:i w:val="0"/>
                <w:iCs w:val="0"/>
                <w:color w:val="000000"/>
                <w:kern w:val="0"/>
                <w:sz w:val="28"/>
                <w:szCs w:val="28"/>
                <w:u w:val="none"/>
                <w:lang w:val="en-US" w:eastAsia="zh-CN" w:bidi="ar"/>
              </w:rPr>
              <w:t>骨科</w:t>
            </w:r>
            <w:r>
              <w:rPr>
                <w:rFonts w:hint="eastAsia" w:ascii="方正仿宋简体" w:hAnsi="方正仿宋简体" w:eastAsia="方正仿宋简体" w:cs="方正仿宋简体"/>
                <w:i w:val="0"/>
                <w:iCs w:val="0"/>
                <w:color w:val="000000"/>
                <w:kern w:val="0"/>
                <w:sz w:val="28"/>
                <w:szCs w:val="28"/>
                <w:u w:val="none"/>
                <w:lang w:val="en-US" w:eastAsia="zh-CN" w:bidi="ar"/>
              </w:rPr>
              <w:t>手术</w:t>
            </w:r>
            <w:r>
              <w:rPr>
                <w:rFonts w:hint="default" w:ascii="方正仿宋简体" w:hAnsi="方正仿宋简体" w:eastAsia="方正仿宋简体" w:cs="方正仿宋简体"/>
                <w:i w:val="0"/>
                <w:iCs w:val="0"/>
                <w:color w:val="000000"/>
                <w:kern w:val="0"/>
                <w:sz w:val="28"/>
                <w:szCs w:val="28"/>
                <w:u w:val="none"/>
                <w:lang w:val="en-US" w:eastAsia="zh-CN" w:bidi="ar"/>
              </w:rPr>
              <w:t>床（含牵引架）</w:t>
            </w:r>
          </w:p>
        </w:tc>
        <w:tc>
          <w:tcPr>
            <w:tcW w:w="1590"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1</w:t>
            </w:r>
          </w:p>
        </w:tc>
        <w:tc>
          <w:tcPr>
            <w:tcW w:w="1479"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4" w:hRule="atLeast"/>
        </w:trPr>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default" w:ascii="方正仿宋简体" w:hAnsi="方正仿宋简体" w:eastAsia="方正仿宋简体" w:cs="方正仿宋简体"/>
                <w:b w:val="0"/>
                <w:bCs w:val="0"/>
                <w:i w:val="0"/>
                <w:iCs w:val="0"/>
                <w:color w:val="000000"/>
                <w:sz w:val="28"/>
                <w:szCs w:val="28"/>
                <w:u w:val="none"/>
                <w:lang w:val="en-US" w:eastAsia="zh-CN"/>
              </w:rPr>
            </w:pPr>
            <w:r>
              <w:rPr>
                <w:rFonts w:hint="eastAsia" w:ascii="方正仿宋简体" w:hAnsi="方正仿宋简体" w:eastAsia="方正仿宋简体" w:cs="方正仿宋简体"/>
                <w:b w:val="0"/>
                <w:bCs w:val="0"/>
                <w:i w:val="0"/>
                <w:iCs w:val="0"/>
                <w:color w:val="000000"/>
                <w:sz w:val="28"/>
                <w:szCs w:val="28"/>
                <w:u w:val="none"/>
                <w:lang w:val="en-US" w:eastAsia="zh-CN"/>
              </w:rPr>
              <w:t>13</w:t>
            </w:r>
          </w:p>
        </w:tc>
        <w:tc>
          <w:tcPr>
            <w:tcW w:w="21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手术室</w:t>
            </w:r>
          </w:p>
        </w:tc>
        <w:tc>
          <w:tcPr>
            <w:tcW w:w="43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kern w:val="0"/>
                <w:sz w:val="28"/>
                <w:szCs w:val="28"/>
                <w:u w:val="none"/>
                <w:lang w:val="en-US" w:eastAsia="zh-CN" w:bidi="ar"/>
              </w:rPr>
            </w:pPr>
            <w:r>
              <w:rPr>
                <w:rFonts w:hint="default" w:ascii="方正仿宋简体" w:hAnsi="方正仿宋简体" w:eastAsia="方正仿宋简体" w:cs="方正仿宋简体"/>
                <w:i w:val="0"/>
                <w:iCs w:val="0"/>
                <w:color w:val="000000"/>
                <w:kern w:val="0"/>
                <w:sz w:val="28"/>
                <w:szCs w:val="28"/>
                <w:u w:val="none"/>
                <w:lang w:val="en-US" w:eastAsia="zh-CN" w:bidi="ar"/>
              </w:rPr>
              <w:t>超低位</w:t>
            </w:r>
            <w:r>
              <w:rPr>
                <w:rFonts w:hint="eastAsia" w:ascii="方正仿宋简体" w:hAnsi="方正仿宋简体" w:eastAsia="方正仿宋简体" w:cs="方正仿宋简体"/>
                <w:i w:val="0"/>
                <w:iCs w:val="0"/>
                <w:color w:val="000000"/>
                <w:kern w:val="0"/>
                <w:sz w:val="28"/>
                <w:szCs w:val="28"/>
                <w:u w:val="none"/>
                <w:lang w:val="en-US" w:eastAsia="zh-CN" w:bidi="ar"/>
              </w:rPr>
              <w:t>手术</w:t>
            </w:r>
            <w:r>
              <w:rPr>
                <w:rFonts w:hint="default" w:ascii="方正仿宋简体" w:hAnsi="方正仿宋简体" w:eastAsia="方正仿宋简体" w:cs="方正仿宋简体"/>
                <w:i w:val="0"/>
                <w:iCs w:val="0"/>
                <w:color w:val="000000"/>
                <w:kern w:val="0"/>
                <w:sz w:val="28"/>
                <w:szCs w:val="28"/>
                <w:u w:val="none"/>
                <w:lang w:val="en-US" w:eastAsia="zh-CN" w:bidi="ar"/>
              </w:rPr>
              <w:t>床</w:t>
            </w:r>
          </w:p>
        </w:tc>
        <w:tc>
          <w:tcPr>
            <w:tcW w:w="1590"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r>
              <w:rPr>
                <w:rFonts w:hint="eastAsia" w:ascii="方正仿宋简体" w:hAnsi="方正仿宋简体" w:eastAsia="方正仿宋简体" w:cs="方正仿宋简体"/>
                <w:i w:val="0"/>
                <w:iCs w:val="0"/>
                <w:color w:val="000000"/>
                <w:kern w:val="0"/>
                <w:sz w:val="28"/>
                <w:szCs w:val="28"/>
                <w:u w:val="none"/>
                <w:lang w:val="en-US" w:eastAsia="zh-CN" w:bidi="ar"/>
              </w:rPr>
              <w:t>3</w:t>
            </w:r>
          </w:p>
        </w:tc>
        <w:tc>
          <w:tcPr>
            <w:tcW w:w="1479" w:type="dxa"/>
            <w:vMerge w:val="continue"/>
            <w:tcBorders>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8"/>
                <w:szCs w:val="28"/>
                <w:u w:val="none"/>
                <w:lang w:val="en-US" w:eastAsia="zh-CN" w:bidi="ar"/>
              </w:rPr>
            </w:pPr>
          </w:p>
        </w:tc>
      </w:tr>
    </w:tbl>
    <w:p>
      <w:pPr>
        <w:keepNext w:val="0"/>
        <w:keepLines w:val="0"/>
        <w:pageBreakBefore w:val="0"/>
        <w:widowControl/>
        <w:kinsoku/>
        <w:wordWrap/>
        <w:overflowPunct/>
        <w:topLinePunct w:val="0"/>
        <w:autoSpaceDE/>
        <w:autoSpaceDN/>
        <w:bidi w:val="0"/>
        <w:adjustRightInd/>
        <w:snapToGrid/>
        <w:spacing w:line="460" w:lineRule="exact"/>
        <w:jc w:val="left"/>
        <w:textAlignment w:val="auto"/>
        <w:outlineLvl w:val="9"/>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序号1、</w:t>
      </w:r>
      <w:r>
        <w:rPr>
          <w:rFonts w:hint="eastAsia" w:ascii="方正仿宋简体" w:hAnsi="方正仿宋简体" w:eastAsia="方正仿宋简体" w:cs="方正仿宋简体"/>
          <w:b/>
          <w:bCs/>
          <w:i w:val="0"/>
          <w:iCs w:val="0"/>
          <w:color w:val="000000"/>
          <w:kern w:val="0"/>
          <w:sz w:val="30"/>
          <w:szCs w:val="30"/>
          <w:u w:val="none"/>
          <w:lang w:val="en-US" w:eastAsia="zh-CN" w:bidi="ar"/>
        </w:rPr>
        <w:t>介入中心-</w:t>
      </w:r>
      <w:r>
        <w:rPr>
          <w:rFonts w:hint="default" w:ascii="方正仿宋简体" w:hAnsi="方正仿宋简体" w:eastAsia="方正仿宋简体" w:cs="方正仿宋简体"/>
          <w:b/>
          <w:bCs/>
          <w:color w:val="auto"/>
          <w:kern w:val="2"/>
          <w:sz w:val="30"/>
          <w:szCs w:val="30"/>
          <w:highlight w:val="none"/>
          <w:lang w:val="en-US" w:eastAsia="zh-CN" w:bidi="ar-SA"/>
        </w:rPr>
        <w:t>机械双臂麻醉吊塔</w:t>
      </w:r>
      <w:r>
        <w:rPr>
          <w:rFonts w:hint="eastAsia" w:ascii="方正仿宋简体" w:hAnsi="方正仿宋简体" w:eastAsia="方正仿宋简体" w:cs="方正仿宋简体"/>
          <w:b/>
          <w:bCs/>
          <w:color w:val="auto"/>
          <w:kern w:val="2"/>
          <w:sz w:val="30"/>
          <w:szCs w:val="30"/>
          <w:highlight w:val="none"/>
          <w:lang w:val="en-US" w:eastAsia="zh-CN" w:bidi="ar-SA"/>
        </w:rPr>
        <w:t>参数及配置要求：</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参数要求：</w:t>
      </w:r>
    </w:p>
    <w:p>
      <w:pPr>
        <w:keepNext w:val="0"/>
        <w:keepLines w:val="0"/>
        <w:pageBreakBefore w:val="0"/>
        <w:widowControl/>
        <w:numPr>
          <w:ilvl w:val="0"/>
          <w:numId w:val="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吊塔主体材料至少为高强度铝合金，防腐蚀；</w:t>
      </w:r>
    </w:p>
    <w:p>
      <w:pPr>
        <w:keepNext w:val="0"/>
        <w:keepLines w:val="0"/>
        <w:pageBreakBefore w:val="0"/>
        <w:widowControl/>
        <w:numPr>
          <w:ilvl w:val="0"/>
          <w:numId w:val="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表面可抑制细菌再生，可耐受多种消毒剂，不发生变色、开裂、锈蚀等外观破损现象；</w:t>
      </w:r>
    </w:p>
    <w:p>
      <w:pPr>
        <w:keepNext w:val="0"/>
        <w:keepLines w:val="0"/>
        <w:pageBreakBefore w:val="0"/>
        <w:widowControl/>
        <w:numPr>
          <w:ilvl w:val="0"/>
          <w:numId w:val="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机械吊塔承重≥600Kg，同时安全承重应为宣称承重的4倍；</w:t>
      </w:r>
    </w:p>
    <w:p>
      <w:pPr>
        <w:keepNext w:val="0"/>
        <w:keepLines w:val="0"/>
        <w:pageBreakBefore w:val="0"/>
        <w:widowControl/>
        <w:numPr>
          <w:ilvl w:val="0"/>
          <w:numId w:val="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各回转机构旋转角度≥340°,转动范围应能够覆盖病人所需区域，并配备旋转限位装置。关节轴承可在额定载荷下，运行次数≥10万次；桥式吊塔滑车最大移动范围不小于600mm；</w:t>
      </w:r>
    </w:p>
    <w:p>
      <w:pPr>
        <w:keepNext w:val="0"/>
        <w:keepLines w:val="0"/>
        <w:pageBreakBefore w:val="0"/>
        <w:widowControl/>
        <w:numPr>
          <w:ilvl w:val="0"/>
          <w:numId w:val="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使用进口医用气体管路，符合EN ISO5359标准；</w:t>
      </w:r>
    </w:p>
    <w:p>
      <w:pPr>
        <w:keepNext w:val="0"/>
        <w:keepLines w:val="0"/>
        <w:pageBreakBefore w:val="0"/>
        <w:widowControl/>
        <w:numPr>
          <w:ilvl w:val="0"/>
          <w:numId w:val="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供电电缆必须采用阻燃、低烟、无卤的铜芯线缆，线缆截面积≥4mm²；</w:t>
      </w:r>
    </w:p>
    <w:p>
      <w:pPr>
        <w:keepNext w:val="0"/>
        <w:keepLines w:val="0"/>
        <w:pageBreakBefore w:val="0"/>
        <w:widowControl/>
        <w:numPr>
          <w:ilvl w:val="0"/>
          <w:numId w:val="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内部用气电分离设计，气体终端及强弱电终端最好位于箱体同侧同面，便于临床观察及操作；</w:t>
      </w:r>
    </w:p>
    <w:p>
      <w:pPr>
        <w:keepNext w:val="0"/>
        <w:keepLines w:val="0"/>
        <w:pageBreakBefore w:val="0"/>
        <w:widowControl/>
        <w:numPr>
          <w:ilvl w:val="0"/>
          <w:numId w:val="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吊塔所有气体终端和接头为德标制式，各种气体终端均为不同颜色和不同形状，金属外壳，具有原位待接通状态功能，可带气维修，并提供8万次以上插拔测试证明；</w:t>
      </w:r>
    </w:p>
    <w:p>
      <w:pPr>
        <w:keepNext w:val="0"/>
        <w:keepLines w:val="0"/>
        <w:pageBreakBefore w:val="0"/>
        <w:widowControl/>
        <w:numPr>
          <w:ilvl w:val="0"/>
          <w:numId w:val="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每个塔体必须配备独立电源空气开关，防止短路影响整体供电；</w:t>
      </w:r>
    </w:p>
    <w:p>
      <w:pPr>
        <w:keepNext w:val="0"/>
        <w:keepLines w:val="0"/>
        <w:pageBreakBefore w:val="0"/>
        <w:widowControl/>
        <w:numPr>
          <w:ilvl w:val="0"/>
          <w:numId w:val="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吊塔产品通过CE认证（提供检测报告或证明材料）。</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配置要求：</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机械双臂吊塔，双臂长度1500mm-2000mm，需根据DSA实际情况调整臂长；</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气体终端：氧气接口2个，空气接口2个，氮气接口2个，负压接口2个，废弃排放口2个，均为德标；</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10A电源接口：数量≥10个；</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RJ45网络接口≥2个；</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托盘层数≥2，托盘尺寸≥400*400mm，承重≥50kg，抽屉1个；</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输液架2个（需保证至少可承载6路输液器），网篮1个；</w:t>
      </w:r>
    </w:p>
    <w:p>
      <w:pPr>
        <w:keepNext w:val="0"/>
        <w:keepLines w:val="0"/>
        <w:pageBreakBefore w:val="0"/>
        <w:widowControl/>
        <w:numPr>
          <w:ilvl w:val="0"/>
          <w:numId w:val="6"/>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独立电源空气开关。</w:t>
      </w:r>
    </w:p>
    <w:p>
      <w:pPr>
        <w:keepNext w:val="0"/>
        <w:keepLines w:val="0"/>
        <w:pageBreakBefore w:val="0"/>
        <w:widowControl/>
        <w:kinsoku/>
        <w:wordWrap/>
        <w:overflowPunct/>
        <w:topLinePunct w:val="0"/>
        <w:autoSpaceDE/>
        <w:autoSpaceDN/>
        <w:bidi w:val="0"/>
        <w:adjustRightInd/>
        <w:snapToGrid/>
        <w:spacing w:line="460" w:lineRule="exact"/>
        <w:jc w:val="left"/>
        <w:textAlignment w:val="auto"/>
        <w:outlineLvl w:val="9"/>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序号2、急诊科-医疗柱参数及配置要求：</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参数要求：</w:t>
      </w:r>
    </w:p>
    <w:p>
      <w:pPr>
        <w:keepNext w:val="0"/>
        <w:keepLines w:val="0"/>
        <w:pageBreakBefore w:val="0"/>
        <w:widowControl/>
        <w:numPr>
          <w:ilvl w:val="0"/>
          <w:numId w:val="7"/>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吊塔主体材料至少为高强度铝合金，防腐蚀；</w:t>
      </w:r>
    </w:p>
    <w:p>
      <w:pPr>
        <w:keepNext w:val="0"/>
        <w:keepLines w:val="0"/>
        <w:pageBreakBefore w:val="0"/>
        <w:widowControl/>
        <w:numPr>
          <w:ilvl w:val="0"/>
          <w:numId w:val="7"/>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表面可抑制细菌再生，可耐受多种消毒剂，不发生变色、开裂、锈蚀等外观破损现象；</w:t>
      </w:r>
    </w:p>
    <w:p>
      <w:pPr>
        <w:keepNext w:val="0"/>
        <w:keepLines w:val="0"/>
        <w:pageBreakBefore w:val="0"/>
        <w:widowControl/>
        <w:numPr>
          <w:ilvl w:val="0"/>
          <w:numId w:val="7"/>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机械吊塔承重≥600Kg，同时安全承重应为宣称承重的4倍；</w:t>
      </w:r>
    </w:p>
    <w:p>
      <w:pPr>
        <w:keepNext w:val="0"/>
        <w:keepLines w:val="0"/>
        <w:pageBreakBefore w:val="0"/>
        <w:widowControl/>
        <w:numPr>
          <w:ilvl w:val="0"/>
          <w:numId w:val="7"/>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各回转机构旋转角度≥340°,转动范围应能够覆盖病人所需区域，并配备旋转限位装置。关节轴承可在额定载荷下，运行次数≥10万次；桥式吊塔滑车最大移动范围不小于600mm；</w:t>
      </w:r>
    </w:p>
    <w:p>
      <w:pPr>
        <w:keepNext w:val="0"/>
        <w:keepLines w:val="0"/>
        <w:pageBreakBefore w:val="0"/>
        <w:widowControl/>
        <w:numPr>
          <w:ilvl w:val="0"/>
          <w:numId w:val="7"/>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使用进口医用气体管路，符合EN ISO5359标准；</w:t>
      </w:r>
    </w:p>
    <w:p>
      <w:pPr>
        <w:keepNext w:val="0"/>
        <w:keepLines w:val="0"/>
        <w:pageBreakBefore w:val="0"/>
        <w:widowControl/>
        <w:numPr>
          <w:ilvl w:val="0"/>
          <w:numId w:val="7"/>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供电电缆必须采用阻燃、低烟、无卤的铜芯线缆，线缆截面积≥4mm²；</w:t>
      </w:r>
    </w:p>
    <w:p>
      <w:pPr>
        <w:keepNext w:val="0"/>
        <w:keepLines w:val="0"/>
        <w:pageBreakBefore w:val="0"/>
        <w:widowControl/>
        <w:numPr>
          <w:ilvl w:val="0"/>
          <w:numId w:val="7"/>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内部用气电分离设计，气体终端及强弱电终端最好位于箱体同侧同面，便于临床观察及操作；</w:t>
      </w:r>
    </w:p>
    <w:p>
      <w:pPr>
        <w:keepNext w:val="0"/>
        <w:keepLines w:val="0"/>
        <w:pageBreakBefore w:val="0"/>
        <w:widowControl/>
        <w:numPr>
          <w:ilvl w:val="0"/>
          <w:numId w:val="7"/>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吊塔所有气体终端和接头为德标制式，各种气体终端均为不同颜色和不同形状，金属外壳，具有原位待接通状态功能，可带气维修，并提供8万次以上插拔测试证明；</w:t>
      </w:r>
    </w:p>
    <w:p>
      <w:pPr>
        <w:keepNext w:val="0"/>
        <w:keepLines w:val="0"/>
        <w:pageBreakBefore w:val="0"/>
        <w:widowControl/>
        <w:numPr>
          <w:ilvl w:val="0"/>
          <w:numId w:val="7"/>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每个塔体必须配备独立电源空气开关，防止短路影响整体供电；</w:t>
      </w:r>
    </w:p>
    <w:p>
      <w:pPr>
        <w:keepNext w:val="0"/>
        <w:keepLines w:val="0"/>
        <w:pageBreakBefore w:val="0"/>
        <w:widowControl/>
        <w:numPr>
          <w:ilvl w:val="0"/>
          <w:numId w:val="7"/>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吊塔产品通过CE认证（提供检测报告或证明材料）。</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配置要求：</w:t>
      </w:r>
    </w:p>
    <w:p>
      <w:pPr>
        <w:keepNext w:val="0"/>
        <w:keepLines w:val="0"/>
        <w:pageBreakBefore w:val="0"/>
        <w:widowControl/>
        <w:numPr>
          <w:ilvl w:val="0"/>
          <w:numId w:val="8"/>
        </w:numPr>
        <w:kinsoku/>
        <w:wordWrap/>
        <w:overflowPunct/>
        <w:topLinePunct w:val="0"/>
        <w:autoSpaceDE/>
        <w:autoSpaceDN/>
        <w:bidi w:val="0"/>
        <w:adjustRightInd/>
        <w:snapToGrid/>
        <w:spacing w:line="360" w:lineRule="exact"/>
        <w:ind w:left="425" w:leftChars="0" w:hanging="425" w:firstLineChars="0"/>
        <w:jc w:val="left"/>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气体终端：氧气接口3个，空气接口2个，负压接口2个，均为德标；</w:t>
      </w:r>
    </w:p>
    <w:p>
      <w:pPr>
        <w:keepNext w:val="0"/>
        <w:keepLines w:val="0"/>
        <w:pageBreakBefore w:val="0"/>
        <w:widowControl/>
        <w:numPr>
          <w:ilvl w:val="0"/>
          <w:numId w:val="8"/>
        </w:numPr>
        <w:kinsoku/>
        <w:wordWrap/>
        <w:overflowPunct/>
        <w:topLinePunct w:val="0"/>
        <w:autoSpaceDE/>
        <w:autoSpaceDN/>
        <w:bidi w:val="0"/>
        <w:adjustRightInd/>
        <w:snapToGrid/>
        <w:spacing w:line="360" w:lineRule="exact"/>
        <w:ind w:left="425" w:leftChars="0" w:hanging="425" w:firstLineChars="0"/>
        <w:jc w:val="left"/>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10A电源接口：数量≥10个；</w:t>
      </w:r>
    </w:p>
    <w:p>
      <w:pPr>
        <w:keepNext w:val="0"/>
        <w:keepLines w:val="0"/>
        <w:pageBreakBefore w:val="0"/>
        <w:widowControl/>
        <w:numPr>
          <w:ilvl w:val="0"/>
          <w:numId w:val="8"/>
        </w:numPr>
        <w:kinsoku/>
        <w:wordWrap/>
        <w:overflowPunct/>
        <w:topLinePunct w:val="0"/>
        <w:autoSpaceDE/>
        <w:autoSpaceDN/>
        <w:bidi w:val="0"/>
        <w:adjustRightInd/>
        <w:snapToGrid/>
        <w:spacing w:line="360" w:lineRule="exact"/>
        <w:ind w:left="425" w:leftChars="0" w:hanging="425" w:firstLineChars="0"/>
        <w:jc w:val="left"/>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RJ45网络接口≥2个；</w:t>
      </w:r>
    </w:p>
    <w:p>
      <w:pPr>
        <w:keepNext w:val="0"/>
        <w:keepLines w:val="0"/>
        <w:pageBreakBefore w:val="0"/>
        <w:widowControl/>
        <w:numPr>
          <w:ilvl w:val="0"/>
          <w:numId w:val="8"/>
        </w:numPr>
        <w:kinsoku/>
        <w:wordWrap/>
        <w:overflowPunct/>
        <w:topLinePunct w:val="0"/>
        <w:autoSpaceDE/>
        <w:autoSpaceDN/>
        <w:bidi w:val="0"/>
        <w:adjustRightInd/>
        <w:snapToGrid/>
        <w:spacing w:line="360" w:lineRule="exact"/>
        <w:ind w:left="425" w:leftChars="0" w:hanging="425" w:firstLineChars="0"/>
        <w:jc w:val="left"/>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托盘层数≥2，托盘尺寸≥400*400mm，承重≥50kg，抽屉1个；</w:t>
      </w:r>
    </w:p>
    <w:p>
      <w:pPr>
        <w:keepNext w:val="0"/>
        <w:keepLines w:val="0"/>
        <w:pageBreakBefore w:val="0"/>
        <w:widowControl/>
        <w:numPr>
          <w:ilvl w:val="0"/>
          <w:numId w:val="8"/>
        </w:numPr>
        <w:kinsoku/>
        <w:wordWrap/>
        <w:overflowPunct/>
        <w:topLinePunct w:val="0"/>
        <w:autoSpaceDE/>
        <w:autoSpaceDN/>
        <w:bidi w:val="0"/>
        <w:adjustRightInd/>
        <w:snapToGrid/>
        <w:spacing w:line="360" w:lineRule="exact"/>
        <w:ind w:left="425" w:leftChars="0" w:hanging="425" w:firstLineChars="0"/>
        <w:jc w:val="left"/>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输液架2个，网篮1个；</w:t>
      </w:r>
    </w:p>
    <w:p>
      <w:pPr>
        <w:keepNext w:val="0"/>
        <w:keepLines w:val="0"/>
        <w:pageBreakBefore w:val="0"/>
        <w:widowControl/>
        <w:numPr>
          <w:ilvl w:val="0"/>
          <w:numId w:val="8"/>
        </w:numPr>
        <w:kinsoku/>
        <w:wordWrap/>
        <w:overflowPunct/>
        <w:topLinePunct w:val="0"/>
        <w:autoSpaceDE/>
        <w:autoSpaceDN/>
        <w:bidi w:val="0"/>
        <w:adjustRightInd/>
        <w:snapToGrid/>
        <w:spacing w:line="360" w:lineRule="exact"/>
        <w:ind w:left="425" w:leftChars="0" w:hanging="425" w:firstLineChars="0"/>
        <w:jc w:val="left"/>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独立电源空气开关</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kinsoku/>
        <w:wordWrap/>
        <w:overflowPunct/>
        <w:topLinePunct w:val="0"/>
        <w:autoSpaceDE/>
        <w:autoSpaceDN/>
        <w:bidi w:val="0"/>
        <w:adjustRightInd/>
        <w:snapToGrid/>
        <w:spacing w:line="460" w:lineRule="exact"/>
        <w:jc w:val="left"/>
        <w:textAlignment w:val="auto"/>
        <w:outlineLvl w:val="9"/>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序号3、急诊科-双臂吊塔参数及配置要求：</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参数要求：</w:t>
      </w:r>
    </w:p>
    <w:p>
      <w:pPr>
        <w:keepNext w:val="0"/>
        <w:keepLines w:val="0"/>
        <w:pageBreakBefore w:val="0"/>
        <w:widowControl/>
        <w:numPr>
          <w:ilvl w:val="0"/>
          <w:numId w:val="9"/>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吊塔主体材料至少为高强度铝合金，防腐蚀；</w:t>
      </w:r>
    </w:p>
    <w:p>
      <w:pPr>
        <w:keepNext w:val="0"/>
        <w:keepLines w:val="0"/>
        <w:pageBreakBefore w:val="0"/>
        <w:widowControl/>
        <w:numPr>
          <w:ilvl w:val="0"/>
          <w:numId w:val="9"/>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表面可抑制细菌再生，可耐受多种消毒剂，不发生变色、开裂、锈蚀等外观破损现象；</w:t>
      </w:r>
    </w:p>
    <w:p>
      <w:pPr>
        <w:keepNext w:val="0"/>
        <w:keepLines w:val="0"/>
        <w:pageBreakBefore w:val="0"/>
        <w:widowControl/>
        <w:numPr>
          <w:ilvl w:val="0"/>
          <w:numId w:val="9"/>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机械吊塔承重≥600Kg，同时安全承重应为宣称承重的4倍；</w:t>
      </w:r>
    </w:p>
    <w:p>
      <w:pPr>
        <w:keepNext w:val="0"/>
        <w:keepLines w:val="0"/>
        <w:pageBreakBefore w:val="0"/>
        <w:widowControl/>
        <w:numPr>
          <w:ilvl w:val="0"/>
          <w:numId w:val="9"/>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各回转机构旋转角度≥340°,转动范围应能够覆盖病人所需区域，并配备旋转限位装置。关节轴承可在额定载荷下，运行次数≥10万次；桥式吊塔滑车最大移动范围不小于600mm；</w:t>
      </w:r>
    </w:p>
    <w:p>
      <w:pPr>
        <w:keepNext w:val="0"/>
        <w:keepLines w:val="0"/>
        <w:pageBreakBefore w:val="0"/>
        <w:widowControl/>
        <w:numPr>
          <w:ilvl w:val="0"/>
          <w:numId w:val="9"/>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使用进口医用气体管路，符合EN ISO5359标准；</w:t>
      </w:r>
    </w:p>
    <w:p>
      <w:pPr>
        <w:keepNext w:val="0"/>
        <w:keepLines w:val="0"/>
        <w:pageBreakBefore w:val="0"/>
        <w:widowControl/>
        <w:numPr>
          <w:ilvl w:val="0"/>
          <w:numId w:val="9"/>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供电电缆必须采用阻燃、低烟、无卤的铜芯线缆，线缆截面积≥4mm²；</w:t>
      </w:r>
    </w:p>
    <w:p>
      <w:pPr>
        <w:keepNext w:val="0"/>
        <w:keepLines w:val="0"/>
        <w:pageBreakBefore w:val="0"/>
        <w:widowControl/>
        <w:numPr>
          <w:ilvl w:val="0"/>
          <w:numId w:val="9"/>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内部用气电分离设计，气体终端及强弱电终端最好位于箱体同侧同面，便于临床观察及操作；</w:t>
      </w:r>
    </w:p>
    <w:p>
      <w:pPr>
        <w:keepNext w:val="0"/>
        <w:keepLines w:val="0"/>
        <w:pageBreakBefore w:val="0"/>
        <w:widowControl/>
        <w:numPr>
          <w:ilvl w:val="0"/>
          <w:numId w:val="9"/>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吊塔所有气体终端和接头为德标制式，各种气体终端均为不同颜色和不同形状，金属外壳，具有原位待接通状态功能，可带气维修，并提供8万次以上插拔测试证明；</w:t>
      </w:r>
    </w:p>
    <w:p>
      <w:pPr>
        <w:keepNext w:val="0"/>
        <w:keepLines w:val="0"/>
        <w:pageBreakBefore w:val="0"/>
        <w:widowControl/>
        <w:numPr>
          <w:ilvl w:val="0"/>
          <w:numId w:val="9"/>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每个塔体必须配备独立电源空气开关，防止短路影响整体供电；</w:t>
      </w:r>
    </w:p>
    <w:p>
      <w:pPr>
        <w:keepNext w:val="0"/>
        <w:keepLines w:val="0"/>
        <w:pageBreakBefore w:val="0"/>
        <w:widowControl/>
        <w:numPr>
          <w:ilvl w:val="0"/>
          <w:numId w:val="9"/>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吊塔产品通过CE认证（提供检测报告或证明材料）。</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配置要求：</w:t>
      </w:r>
    </w:p>
    <w:p>
      <w:pPr>
        <w:keepNext w:val="0"/>
        <w:keepLines w:val="0"/>
        <w:pageBreakBefore w:val="0"/>
        <w:widowControl/>
        <w:numPr>
          <w:ilvl w:val="0"/>
          <w:numId w:val="10"/>
        </w:numPr>
        <w:kinsoku/>
        <w:wordWrap/>
        <w:overflowPunct/>
        <w:topLinePunct w:val="0"/>
        <w:autoSpaceDE/>
        <w:autoSpaceDN/>
        <w:bidi w:val="0"/>
        <w:adjustRightInd/>
        <w:snapToGrid/>
        <w:spacing w:line="360" w:lineRule="exact"/>
        <w:ind w:left="425" w:leftChars="0" w:hanging="425" w:firstLineChars="0"/>
        <w:jc w:val="left"/>
        <w:rPr>
          <w:rFonts w:hint="default"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机械双臂吊塔，双臂长度≥1500mm；</w:t>
      </w:r>
    </w:p>
    <w:p>
      <w:pPr>
        <w:keepNext w:val="0"/>
        <w:keepLines w:val="0"/>
        <w:pageBreakBefore w:val="0"/>
        <w:widowControl/>
        <w:numPr>
          <w:ilvl w:val="0"/>
          <w:numId w:val="10"/>
        </w:numPr>
        <w:kinsoku/>
        <w:wordWrap/>
        <w:overflowPunct/>
        <w:topLinePunct w:val="0"/>
        <w:autoSpaceDE/>
        <w:autoSpaceDN/>
        <w:bidi w:val="0"/>
        <w:adjustRightInd/>
        <w:snapToGrid/>
        <w:spacing w:line="360" w:lineRule="exact"/>
        <w:ind w:left="425" w:leftChars="0" w:hanging="425" w:firstLineChars="0"/>
        <w:jc w:val="left"/>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气体终端：氧气接口3个，空气接口2个，负压接口2个，均为德标；</w:t>
      </w:r>
    </w:p>
    <w:p>
      <w:pPr>
        <w:keepNext w:val="0"/>
        <w:keepLines w:val="0"/>
        <w:pageBreakBefore w:val="0"/>
        <w:widowControl/>
        <w:numPr>
          <w:ilvl w:val="0"/>
          <w:numId w:val="10"/>
        </w:numPr>
        <w:kinsoku/>
        <w:wordWrap/>
        <w:overflowPunct/>
        <w:topLinePunct w:val="0"/>
        <w:autoSpaceDE/>
        <w:autoSpaceDN/>
        <w:bidi w:val="0"/>
        <w:adjustRightInd/>
        <w:snapToGrid/>
        <w:spacing w:line="360" w:lineRule="exact"/>
        <w:ind w:left="425" w:leftChars="0" w:hanging="425" w:firstLineChars="0"/>
        <w:jc w:val="left"/>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10A电源接口：数量≥10个；</w:t>
      </w:r>
    </w:p>
    <w:p>
      <w:pPr>
        <w:keepNext w:val="0"/>
        <w:keepLines w:val="0"/>
        <w:pageBreakBefore w:val="0"/>
        <w:widowControl/>
        <w:numPr>
          <w:ilvl w:val="0"/>
          <w:numId w:val="10"/>
        </w:numPr>
        <w:kinsoku/>
        <w:wordWrap/>
        <w:overflowPunct/>
        <w:topLinePunct w:val="0"/>
        <w:autoSpaceDE/>
        <w:autoSpaceDN/>
        <w:bidi w:val="0"/>
        <w:adjustRightInd/>
        <w:snapToGrid/>
        <w:spacing w:line="360" w:lineRule="exact"/>
        <w:ind w:left="425" w:leftChars="0" w:hanging="425" w:firstLineChars="0"/>
        <w:jc w:val="left"/>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RJ45网络接口≥2个；</w:t>
      </w:r>
    </w:p>
    <w:p>
      <w:pPr>
        <w:keepNext w:val="0"/>
        <w:keepLines w:val="0"/>
        <w:pageBreakBefore w:val="0"/>
        <w:widowControl/>
        <w:numPr>
          <w:ilvl w:val="0"/>
          <w:numId w:val="10"/>
        </w:numPr>
        <w:kinsoku/>
        <w:wordWrap/>
        <w:overflowPunct/>
        <w:topLinePunct w:val="0"/>
        <w:autoSpaceDE/>
        <w:autoSpaceDN/>
        <w:bidi w:val="0"/>
        <w:adjustRightInd/>
        <w:snapToGrid/>
        <w:spacing w:line="360" w:lineRule="exact"/>
        <w:ind w:left="425" w:leftChars="0" w:hanging="425" w:firstLineChars="0"/>
        <w:jc w:val="left"/>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托盘层数≥2，托盘尺寸≥400*400mm，承重≥50kg，抽屉1个；</w:t>
      </w:r>
    </w:p>
    <w:p>
      <w:pPr>
        <w:keepNext w:val="0"/>
        <w:keepLines w:val="0"/>
        <w:pageBreakBefore w:val="0"/>
        <w:widowControl/>
        <w:numPr>
          <w:ilvl w:val="0"/>
          <w:numId w:val="10"/>
        </w:numPr>
        <w:kinsoku/>
        <w:wordWrap/>
        <w:overflowPunct/>
        <w:topLinePunct w:val="0"/>
        <w:autoSpaceDE/>
        <w:autoSpaceDN/>
        <w:bidi w:val="0"/>
        <w:adjustRightInd/>
        <w:snapToGrid/>
        <w:spacing w:line="360" w:lineRule="exact"/>
        <w:ind w:left="425" w:leftChars="0" w:hanging="425" w:firstLineChars="0"/>
        <w:jc w:val="left"/>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输液架2个，网篮1个；</w:t>
      </w:r>
    </w:p>
    <w:p>
      <w:pPr>
        <w:keepNext w:val="0"/>
        <w:keepLines w:val="0"/>
        <w:pageBreakBefore w:val="0"/>
        <w:widowControl/>
        <w:numPr>
          <w:ilvl w:val="0"/>
          <w:numId w:val="10"/>
        </w:numPr>
        <w:kinsoku/>
        <w:wordWrap/>
        <w:overflowPunct/>
        <w:topLinePunct w:val="0"/>
        <w:autoSpaceDE/>
        <w:autoSpaceDN/>
        <w:bidi w:val="0"/>
        <w:adjustRightInd/>
        <w:snapToGrid/>
        <w:spacing w:line="360" w:lineRule="exact"/>
        <w:ind w:left="425" w:leftChars="0" w:hanging="425" w:firstLineChars="0"/>
        <w:jc w:val="left"/>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独立电源空气开关</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kinsoku/>
        <w:wordWrap/>
        <w:overflowPunct/>
        <w:topLinePunct w:val="0"/>
        <w:autoSpaceDE/>
        <w:autoSpaceDN/>
        <w:bidi w:val="0"/>
        <w:adjustRightInd/>
        <w:snapToGrid/>
        <w:spacing w:line="460" w:lineRule="exact"/>
        <w:jc w:val="left"/>
        <w:textAlignment w:val="auto"/>
        <w:outlineLvl w:val="9"/>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序号4、手术室-机械双臂麻醉吊塔参数及配置要求：</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参数要求：</w:t>
      </w:r>
    </w:p>
    <w:p>
      <w:pPr>
        <w:keepNext w:val="0"/>
        <w:keepLines w:val="0"/>
        <w:pageBreakBefore w:val="0"/>
        <w:widowControl/>
        <w:numPr>
          <w:ilvl w:val="0"/>
          <w:numId w:val="11"/>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吊塔主体材料至少为高强度铝合金，防腐蚀；</w:t>
      </w:r>
    </w:p>
    <w:p>
      <w:pPr>
        <w:keepNext w:val="0"/>
        <w:keepLines w:val="0"/>
        <w:pageBreakBefore w:val="0"/>
        <w:widowControl/>
        <w:numPr>
          <w:ilvl w:val="0"/>
          <w:numId w:val="11"/>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表面可抑制细菌再生，可耐受多种消毒剂，不发生变色、开裂、锈蚀等外观破损现象；</w:t>
      </w:r>
    </w:p>
    <w:p>
      <w:pPr>
        <w:keepNext w:val="0"/>
        <w:keepLines w:val="0"/>
        <w:pageBreakBefore w:val="0"/>
        <w:widowControl/>
        <w:numPr>
          <w:ilvl w:val="0"/>
          <w:numId w:val="11"/>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机械吊塔承重≥600Kg，同时安全承重应为宣称承重的4倍；</w:t>
      </w:r>
    </w:p>
    <w:p>
      <w:pPr>
        <w:keepNext w:val="0"/>
        <w:keepLines w:val="0"/>
        <w:pageBreakBefore w:val="0"/>
        <w:widowControl/>
        <w:numPr>
          <w:ilvl w:val="0"/>
          <w:numId w:val="11"/>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各回转机构旋转角度≥340°,转动范围应能够覆盖病人所需区域，并配备旋转限位装置。关节轴承可在额定载荷下，运行次数≥10万次；桥式吊塔滑车最大移动范围不小于600mm；</w:t>
      </w:r>
    </w:p>
    <w:p>
      <w:pPr>
        <w:keepNext w:val="0"/>
        <w:keepLines w:val="0"/>
        <w:pageBreakBefore w:val="0"/>
        <w:widowControl/>
        <w:numPr>
          <w:ilvl w:val="0"/>
          <w:numId w:val="11"/>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使用进口医用气体管路，符合EN ISO5359标准；</w:t>
      </w:r>
    </w:p>
    <w:p>
      <w:pPr>
        <w:keepNext w:val="0"/>
        <w:keepLines w:val="0"/>
        <w:pageBreakBefore w:val="0"/>
        <w:widowControl/>
        <w:numPr>
          <w:ilvl w:val="0"/>
          <w:numId w:val="11"/>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供电电缆必须采用阻燃、低烟、无卤的铜芯线缆，线缆截面积≥4mm²；</w:t>
      </w:r>
    </w:p>
    <w:p>
      <w:pPr>
        <w:keepNext w:val="0"/>
        <w:keepLines w:val="0"/>
        <w:pageBreakBefore w:val="0"/>
        <w:widowControl/>
        <w:numPr>
          <w:ilvl w:val="0"/>
          <w:numId w:val="11"/>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内部用气电分离设计，气体终端及强弱电终端最好位于箱体同侧同面，便于临床观察及操作；</w:t>
      </w:r>
    </w:p>
    <w:p>
      <w:pPr>
        <w:keepNext w:val="0"/>
        <w:keepLines w:val="0"/>
        <w:pageBreakBefore w:val="0"/>
        <w:widowControl/>
        <w:numPr>
          <w:ilvl w:val="0"/>
          <w:numId w:val="11"/>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吊塔所有气体终端和接头为德标制式，各种气体终端均为不同颜色和不同形状，金属外壳，具有原位待接通状态功能，可带气维修，并提供8万次以上插拔测试证明；</w:t>
      </w:r>
    </w:p>
    <w:p>
      <w:pPr>
        <w:keepNext w:val="0"/>
        <w:keepLines w:val="0"/>
        <w:pageBreakBefore w:val="0"/>
        <w:widowControl/>
        <w:numPr>
          <w:ilvl w:val="0"/>
          <w:numId w:val="11"/>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每个塔体必须配备独立电源空气开关，防止短路影响整体供电；</w:t>
      </w:r>
    </w:p>
    <w:p>
      <w:pPr>
        <w:keepNext w:val="0"/>
        <w:keepLines w:val="0"/>
        <w:pageBreakBefore w:val="0"/>
        <w:widowControl/>
        <w:numPr>
          <w:ilvl w:val="0"/>
          <w:numId w:val="11"/>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吊塔产品通过CE认证（提供检测报告或证明材料）。</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配置要求：</w:t>
      </w:r>
    </w:p>
    <w:p>
      <w:pPr>
        <w:keepNext w:val="0"/>
        <w:keepLines w:val="0"/>
        <w:pageBreakBefore w:val="0"/>
        <w:widowControl/>
        <w:numPr>
          <w:ilvl w:val="0"/>
          <w:numId w:val="12"/>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机械双臂吊塔，双臂长度≥1500mm；</w:t>
      </w:r>
    </w:p>
    <w:p>
      <w:pPr>
        <w:keepNext w:val="0"/>
        <w:keepLines w:val="0"/>
        <w:pageBreakBefore w:val="0"/>
        <w:widowControl/>
        <w:numPr>
          <w:ilvl w:val="0"/>
          <w:numId w:val="12"/>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气体终端：氧气接口2个，空气接口2个，氮气接口2个，负压接口2个，废弃排放口1个，均为德标；</w:t>
      </w:r>
    </w:p>
    <w:p>
      <w:pPr>
        <w:keepNext w:val="0"/>
        <w:keepLines w:val="0"/>
        <w:pageBreakBefore w:val="0"/>
        <w:widowControl/>
        <w:numPr>
          <w:ilvl w:val="0"/>
          <w:numId w:val="12"/>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10A电源接口：数量≥12个；</w:t>
      </w:r>
    </w:p>
    <w:p>
      <w:pPr>
        <w:keepNext w:val="0"/>
        <w:keepLines w:val="0"/>
        <w:pageBreakBefore w:val="0"/>
        <w:widowControl/>
        <w:numPr>
          <w:ilvl w:val="0"/>
          <w:numId w:val="12"/>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RJ45网络接口≥4个；</w:t>
      </w:r>
    </w:p>
    <w:p>
      <w:pPr>
        <w:keepNext w:val="0"/>
        <w:keepLines w:val="0"/>
        <w:pageBreakBefore w:val="0"/>
        <w:widowControl/>
        <w:numPr>
          <w:ilvl w:val="0"/>
          <w:numId w:val="12"/>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托盘层数≥2，托盘尺寸≥400*400mm，承重≥50kg，抽屉1个；</w:t>
      </w:r>
    </w:p>
    <w:p>
      <w:pPr>
        <w:keepNext w:val="0"/>
        <w:keepLines w:val="0"/>
        <w:pageBreakBefore w:val="0"/>
        <w:widowControl/>
        <w:numPr>
          <w:ilvl w:val="0"/>
          <w:numId w:val="12"/>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输液架1个，网篮1个；</w:t>
      </w:r>
    </w:p>
    <w:p>
      <w:pPr>
        <w:keepNext w:val="0"/>
        <w:keepLines w:val="0"/>
        <w:pageBreakBefore w:val="0"/>
        <w:widowControl/>
        <w:numPr>
          <w:ilvl w:val="0"/>
          <w:numId w:val="12"/>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独立电源空气开关。</w:t>
      </w:r>
    </w:p>
    <w:p>
      <w:pPr>
        <w:keepNext w:val="0"/>
        <w:keepLines w:val="0"/>
        <w:pageBreakBefore w:val="0"/>
        <w:widowControl/>
        <w:kinsoku/>
        <w:wordWrap/>
        <w:overflowPunct/>
        <w:topLinePunct w:val="0"/>
        <w:autoSpaceDE/>
        <w:autoSpaceDN/>
        <w:bidi w:val="0"/>
        <w:adjustRightInd/>
        <w:snapToGrid/>
        <w:spacing w:line="460" w:lineRule="exact"/>
        <w:jc w:val="left"/>
        <w:textAlignment w:val="auto"/>
        <w:outlineLvl w:val="9"/>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序号5、手术室-电动双臂腔镜吊塔参数及配置要求：</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lang w:val="en-US" w:eastAsia="zh-CN"/>
        </w:rPr>
      </w:pPr>
      <w:r>
        <w:rPr>
          <w:rFonts w:hint="eastAsia" w:ascii="方正仿宋简体" w:hAnsi="方正仿宋简体" w:eastAsia="方正仿宋简体" w:cs="方正仿宋简体"/>
          <w:b/>
          <w:bCs/>
          <w:color w:val="auto"/>
          <w:kern w:val="2"/>
          <w:sz w:val="30"/>
          <w:szCs w:val="30"/>
          <w:highlight w:val="none"/>
          <w:lang w:val="en-US" w:eastAsia="zh-CN" w:bidi="ar-SA"/>
        </w:rPr>
        <w:t>参数要求：</w:t>
      </w:r>
    </w:p>
    <w:p>
      <w:pPr>
        <w:keepNext w:val="0"/>
        <w:keepLines w:val="0"/>
        <w:pageBreakBefore w:val="0"/>
        <w:widowControl/>
        <w:numPr>
          <w:ilvl w:val="0"/>
          <w:numId w:val="13"/>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吊塔主体材料至少为高强度铝合金，防腐蚀；</w:t>
      </w:r>
    </w:p>
    <w:p>
      <w:pPr>
        <w:keepNext w:val="0"/>
        <w:keepLines w:val="0"/>
        <w:pageBreakBefore w:val="0"/>
        <w:widowControl/>
        <w:numPr>
          <w:ilvl w:val="0"/>
          <w:numId w:val="13"/>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表面可抑制细菌再生，可耐受多种消毒剂，不发生变色、开裂、锈蚀等外观破损现象；</w:t>
      </w:r>
    </w:p>
    <w:p>
      <w:pPr>
        <w:keepNext w:val="0"/>
        <w:keepLines w:val="0"/>
        <w:pageBreakBefore w:val="0"/>
        <w:widowControl/>
        <w:numPr>
          <w:ilvl w:val="0"/>
          <w:numId w:val="13"/>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电动吊塔承重≥200Kg，同时安全承重应为宣称承重的4倍；</w:t>
      </w:r>
    </w:p>
    <w:p>
      <w:pPr>
        <w:keepNext w:val="0"/>
        <w:keepLines w:val="0"/>
        <w:pageBreakBefore w:val="0"/>
        <w:widowControl/>
        <w:numPr>
          <w:ilvl w:val="0"/>
          <w:numId w:val="13"/>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各回转机构旋转角度≥340°,转动范围应能够覆盖病人所需区域，并配备旋转限位装置。关节轴承可在额定载荷下，运行次数≥10万次；桥式吊塔滑车最大移动范围不小于600mm；</w:t>
      </w:r>
    </w:p>
    <w:p>
      <w:pPr>
        <w:keepNext w:val="0"/>
        <w:keepLines w:val="0"/>
        <w:pageBreakBefore w:val="0"/>
        <w:widowControl/>
        <w:numPr>
          <w:ilvl w:val="0"/>
          <w:numId w:val="13"/>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使用进口医用气体管路，符合EN ISO5359标准；</w:t>
      </w:r>
    </w:p>
    <w:p>
      <w:pPr>
        <w:keepNext w:val="0"/>
        <w:keepLines w:val="0"/>
        <w:pageBreakBefore w:val="0"/>
        <w:widowControl/>
        <w:numPr>
          <w:ilvl w:val="0"/>
          <w:numId w:val="13"/>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供电电缆必须采用阻燃、低烟、无卤的铜芯线缆，线缆截面积≥4mm²；</w:t>
      </w:r>
    </w:p>
    <w:p>
      <w:pPr>
        <w:keepNext w:val="0"/>
        <w:keepLines w:val="0"/>
        <w:pageBreakBefore w:val="0"/>
        <w:widowControl/>
        <w:numPr>
          <w:ilvl w:val="0"/>
          <w:numId w:val="13"/>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内部用气电分离设计，气体终端及强弱电终端最好位于箱体同侧同面，便于临床观察及操作；</w:t>
      </w:r>
    </w:p>
    <w:p>
      <w:pPr>
        <w:keepNext w:val="0"/>
        <w:keepLines w:val="0"/>
        <w:pageBreakBefore w:val="0"/>
        <w:widowControl/>
        <w:numPr>
          <w:ilvl w:val="0"/>
          <w:numId w:val="13"/>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吊塔所有气体终端和接头为德标制式，各种气体终端均为不同颜色和不同形状，金属外壳，具有原位待接通状态功能，可带气维修，并提供8万次以上插拔测试证明；</w:t>
      </w:r>
    </w:p>
    <w:p>
      <w:pPr>
        <w:keepNext w:val="0"/>
        <w:keepLines w:val="0"/>
        <w:pageBreakBefore w:val="0"/>
        <w:widowControl/>
        <w:numPr>
          <w:ilvl w:val="0"/>
          <w:numId w:val="13"/>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每个塔体必须配备独立电源空气开关，防止短路影响整体供电；</w:t>
      </w:r>
    </w:p>
    <w:p>
      <w:pPr>
        <w:keepNext w:val="0"/>
        <w:keepLines w:val="0"/>
        <w:pageBreakBefore w:val="0"/>
        <w:widowControl/>
        <w:numPr>
          <w:ilvl w:val="0"/>
          <w:numId w:val="13"/>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吊塔产品通过CE认证（提供检测报告或证明材料）；</w:t>
      </w:r>
    </w:p>
    <w:p>
      <w:pPr>
        <w:keepNext w:val="0"/>
        <w:keepLines w:val="0"/>
        <w:pageBreakBefore w:val="0"/>
        <w:widowControl/>
        <w:numPr>
          <w:ilvl w:val="0"/>
          <w:numId w:val="13"/>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腔镜吊塔具备电动升降调节功能，辅助腔镜手术使用。</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配置要求：</w:t>
      </w:r>
    </w:p>
    <w:p>
      <w:pPr>
        <w:keepNext w:val="0"/>
        <w:keepLines w:val="0"/>
        <w:pageBreakBefore w:val="0"/>
        <w:widowControl/>
        <w:numPr>
          <w:ilvl w:val="0"/>
          <w:numId w:val="14"/>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电动双臂结构，可电动升降，总悬臂长度≥1500mm；</w:t>
      </w:r>
    </w:p>
    <w:p>
      <w:pPr>
        <w:keepNext w:val="0"/>
        <w:keepLines w:val="0"/>
        <w:pageBreakBefore w:val="0"/>
        <w:widowControl/>
        <w:numPr>
          <w:ilvl w:val="0"/>
          <w:numId w:val="14"/>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独立旋臂承载大尺寸腔镜显示屏；</w:t>
      </w:r>
    </w:p>
    <w:p>
      <w:pPr>
        <w:keepNext w:val="0"/>
        <w:keepLines w:val="0"/>
        <w:pageBreakBefore w:val="0"/>
        <w:widowControl/>
        <w:numPr>
          <w:ilvl w:val="0"/>
          <w:numId w:val="14"/>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气体终端：氧气接口1个，空气接口1个，二氧化碳接口2个，负压接口1个，均为德标；</w:t>
      </w:r>
    </w:p>
    <w:p>
      <w:pPr>
        <w:keepNext w:val="0"/>
        <w:keepLines w:val="0"/>
        <w:pageBreakBefore w:val="0"/>
        <w:widowControl/>
        <w:numPr>
          <w:ilvl w:val="0"/>
          <w:numId w:val="14"/>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10A电源接口：数量≥10个；</w:t>
      </w:r>
    </w:p>
    <w:p>
      <w:pPr>
        <w:keepNext w:val="0"/>
        <w:keepLines w:val="0"/>
        <w:pageBreakBefore w:val="0"/>
        <w:widowControl/>
        <w:numPr>
          <w:ilvl w:val="0"/>
          <w:numId w:val="14"/>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RJ45网络接口≥2个；</w:t>
      </w:r>
    </w:p>
    <w:p>
      <w:pPr>
        <w:keepNext w:val="0"/>
        <w:keepLines w:val="0"/>
        <w:pageBreakBefore w:val="0"/>
        <w:widowControl/>
        <w:numPr>
          <w:ilvl w:val="0"/>
          <w:numId w:val="14"/>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视频传输端口：保证1个HDMI端口，1个VGA端口，1个DVI端口，后期需可改动；</w:t>
      </w:r>
    </w:p>
    <w:p>
      <w:pPr>
        <w:keepNext w:val="0"/>
        <w:keepLines w:val="0"/>
        <w:pageBreakBefore w:val="0"/>
        <w:widowControl/>
        <w:numPr>
          <w:ilvl w:val="0"/>
          <w:numId w:val="14"/>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托盘层数≥4，托盘尺寸≥500*500mm，承重≥50kg，抽屉1个；</w:t>
      </w:r>
    </w:p>
    <w:p>
      <w:pPr>
        <w:keepNext w:val="0"/>
        <w:keepLines w:val="0"/>
        <w:pageBreakBefore w:val="0"/>
        <w:widowControl/>
        <w:numPr>
          <w:ilvl w:val="0"/>
          <w:numId w:val="14"/>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输液架1个，网篮1个；</w:t>
      </w:r>
    </w:p>
    <w:p>
      <w:pPr>
        <w:keepNext w:val="0"/>
        <w:keepLines w:val="0"/>
        <w:pageBreakBefore w:val="0"/>
        <w:widowControl/>
        <w:numPr>
          <w:ilvl w:val="0"/>
          <w:numId w:val="14"/>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独立电源空气开关。</w:t>
      </w:r>
    </w:p>
    <w:p>
      <w:pPr>
        <w:keepNext w:val="0"/>
        <w:keepLines w:val="0"/>
        <w:pageBreakBefore w:val="0"/>
        <w:widowControl/>
        <w:kinsoku/>
        <w:wordWrap/>
        <w:overflowPunct/>
        <w:topLinePunct w:val="0"/>
        <w:autoSpaceDE/>
        <w:autoSpaceDN/>
        <w:bidi w:val="0"/>
        <w:adjustRightInd/>
        <w:snapToGrid/>
        <w:spacing w:line="460" w:lineRule="exact"/>
        <w:jc w:val="left"/>
        <w:textAlignment w:val="auto"/>
        <w:outlineLvl w:val="9"/>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序号6、ICU-双吊柱吊桥参数及配置要求：</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参数要求：</w:t>
      </w:r>
    </w:p>
    <w:p>
      <w:pPr>
        <w:keepNext w:val="0"/>
        <w:keepLines w:val="0"/>
        <w:pageBreakBefore w:val="0"/>
        <w:widowControl/>
        <w:numPr>
          <w:ilvl w:val="0"/>
          <w:numId w:val="1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吊塔主体材料至少为高强度铝合金，防腐蚀；</w:t>
      </w:r>
    </w:p>
    <w:p>
      <w:pPr>
        <w:keepNext w:val="0"/>
        <w:keepLines w:val="0"/>
        <w:pageBreakBefore w:val="0"/>
        <w:widowControl/>
        <w:numPr>
          <w:ilvl w:val="0"/>
          <w:numId w:val="1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表面可抑制细菌再生，可耐受多种消毒剂，不发生变色、开裂、锈蚀等外观破损现象；</w:t>
      </w:r>
    </w:p>
    <w:p>
      <w:pPr>
        <w:keepNext w:val="0"/>
        <w:keepLines w:val="0"/>
        <w:pageBreakBefore w:val="0"/>
        <w:widowControl/>
        <w:numPr>
          <w:ilvl w:val="0"/>
          <w:numId w:val="1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机械吊塔承重≥600Kg，同时安全承重应为宣称承重的4倍；</w:t>
      </w:r>
    </w:p>
    <w:p>
      <w:pPr>
        <w:keepNext w:val="0"/>
        <w:keepLines w:val="0"/>
        <w:pageBreakBefore w:val="0"/>
        <w:widowControl/>
        <w:numPr>
          <w:ilvl w:val="0"/>
          <w:numId w:val="1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各回转机构旋转角度≥340°,转动范围应能够覆盖病人所需区域，并配备旋转限位装置。关节轴承可在额定载荷下，运行次数≥10万次；桥式吊塔滑车最大移动范围不小于600mm；</w:t>
      </w:r>
    </w:p>
    <w:p>
      <w:pPr>
        <w:keepNext w:val="0"/>
        <w:keepLines w:val="0"/>
        <w:pageBreakBefore w:val="0"/>
        <w:widowControl/>
        <w:numPr>
          <w:ilvl w:val="0"/>
          <w:numId w:val="1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使用进口医用气体管路，符合EN ISO5359标准；</w:t>
      </w:r>
    </w:p>
    <w:p>
      <w:pPr>
        <w:keepNext w:val="0"/>
        <w:keepLines w:val="0"/>
        <w:pageBreakBefore w:val="0"/>
        <w:widowControl/>
        <w:numPr>
          <w:ilvl w:val="0"/>
          <w:numId w:val="1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供电电缆必须采用阻燃、低烟、无卤的铜芯线缆，线缆截面积≥4mm²；</w:t>
      </w:r>
    </w:p>
    <w:p>
      <w:pPr>
        <w:keepNext w:val="0"/>
        <w:keepLines w:val="0"/>
        <w:pageBreakBefore w:val="0"/>
        <w:widowControl/>
        <w:numPr>
          <w:ilvl w:val="0"/>
          <w:numId w:val="1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内部用气电分离设计，气体终端及强弱电终端最好位于箱体同侧同面，便于临床观察及操作；</w:t>
      </w:r>
    </w:p>
    <w:p>
      <w:pPr>
        <w:keepNext w:val="0"/>
        <w:keepLines w:val="0"/>
        <w:pageBreakBefore w:val="0"/>
        <w:widowControl/>
        <w:numPr>
          <w:ilvl w:val="0"/>
          <w:numId w:val="1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吊塔所有气体终端和接头为德标制式，各种气体终端均为不同颜色和不同形状，金属外壳，具有原位待接通状态功能，可带气维修，并提供8万次以上插拔测试证明；</w:t>
      </w:r>
    </w:p>
    <w:p>
      <w:pPr>
        <w:keepNext w:val="0"/>
        <w:keepLines w:val="0"/>
        <w:pageBreakBefore w:val="0"/>
        <w:widowControl/>
        <w:numPr>
          <w:ilvl w:val="0"/>
          <w:numId w:val="1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每个塔体必须配备独立电源空气开关，防止短路影响整体供电；</w:t>
      </w:r>
    </w:p>
    <w:p>
      <w:pPr>
        <w:keepNext w:val="0"/>
        <w:keepLines w:val="0"/>
        <w:pageBreakBefore w:val="0"/>
        <w:widowControl/>
        <w:numPr>
          <w:ilvl w:val="0"/>
          <w:numId w:val="15"/>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吊塔产品通过CE认证（提供检测报告或证明材料）。</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配置要求：</w:t>
      </w:r>
    </w:p>
    <w:p>
      <w:pPr>
        <w:keepNext w:val="0"/>
        <w:keepLines w:val="0"/>
        <w:pageBreakBefore w:val="0"/>
        <w:widowControl/>
        <w:numPr>
          <w:ilvl w:val="0"/>
          <w:numId w:val="16"/>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干湿分离吊桥，吊桥长度≤2800mm，根据实际勘察尺寸可做调整；每床配2个吊柱，吊柱长度≥800mm，其中一个吊柱带单旋臂；</w:t>
      </w:r>
    </w:p>
    <w:p>
      <w:pPr>
        <w:keepNext w:val="0"/>
        <w:keepLines w:val="0"/>
        <w:pageBreakBefore w:val="0"/>
        <w:widowControl/>
        <w:numPr>
          <w:ilvl w:val="0"/>
          <w:numId w:val="16"/>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干区配置：</w:t>
      </w:r>
    </w:p>
    <w:p>
      <w:pPr>
        <w:keepNext w:val="0"/>
        <w:keepLines w:val="0"/>
        <w:pageBreakBefore w:val="0"/>
        <w:widowControl/>
        <w:numPr>
          <w:ilvl w:val="1"/>
          <w:numId w:val="16"/>
        </w:numPr>
        <w:kinsoku/>
        <w:wordWrap/>
        <w:overflowPunct/>
        <w:topLinePunct w:val="0"/>
        <w:autoSpaceDE/>
        <w:autoSpaceDN/>
        <w:bidi w:val="0"/>
        <w:adjustRightInd/>
        <w:snapToGrid/>
        <w:spacing w:line="360" w:lineRule="exact"/>
        <w:ind w:left="840" w:leftChars="0" w:hanging="420"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气体终端：氧气接口2个，空气接口2个，负压接口2个，均为德标；</w:t>
      </w:r>
    </w:p>
    <w:p>
      <w:pPr>
        <w:keepNext w:val="0"/>
        <w:keepLines w:val="0"/>
        <w:pageBreakBefore w:val="0"/>
        <w:widowControl/>
        <w:numPr>
          <w:ilvl w:val="1"/>
          <w:numId w:val="16"/>
        </w:numPr>
        <w:kinsoku/>
        <w:wordWrap/>
        <w:overflowPunct/>
        <w:topLinePunct w:val="0"/>
        <w:autoSpaceDE/>
        <w:autoSpaceDN/>
        <w:bidi w:val="0"/>
        <w:adjustRightInd/>
        <w:snapToGrid/>
        <w:spacing w:line="360" w:lineRule="exact"/>
        <w:ind w:left="840" w:leftChars="0" w:hanging="420"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10A电源接口数量≥10个；</w:t>
      </w:r>
    </w:p>
    <w:p>
      <w:pPr>
        <w:keepNext w:val="0"/>
        <w:keepLines w:val="0"/>
        <w:pageBreakBefore w:val="0"/>
        <w:widowControl/>
        <w:numPr>
          <w:ilvl w:val="1"/>
          <w:numId w:val="16"/>
        </w:numPr>
        <w:kinsoku/>
        <w:wordWrap/>
        <w:overflowPunct/>
        <w:topLinePunct w:val="0"/>
        <w:autoSpaceDE/>
        <w:autoSpaceDN/>
        <w:bidi w:val="0"/>
        <w:adjustRightInd/>
        <w:snapToGrid/>
        <w:spacing w:line="360" w:lineRule="exact"/>
        <w:ind w:left="840" w:leftChars="0" w:hanging="420"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RJ45网络接口≥3个；</w:t>
      </w:r>
    </w:p>
    <w:p>
      <w:pPr>
        <w:keepNext w:val="0"/>
        <w:keepLines w:val="0"/>
        <w:pageBreakBefore w:val="0"/>
        <w:widowControl/>
        <w:numPr>
          <w:ilvl w:val="1"/>
          <w:numId w:val="16"/>
        </w:numPr>
        <w:kinsoku/>
        <w:wordWrap/>
        <w:overflowPunct/>
        <w:topLinePunct w:val="0"/>
        <w:autoSpaceDE/>
        <w:autoSpaceDN/>
        <w:bidi w:val="0"/>
        <w:adjustRightInd/>
        <w:snapToGrid/>
        <w:spacing w:line="360" w:lineRule="exact"/>
        <w:ind w:left="840" w:leftChars="0" w:hanging="420"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托盘层数≥2，托盘尺寸≥400*400mm，承重≥60kg，抽屉1个；</w:t>
      </w:r>
    </w:p>
    <w:p>
      <w:pPr>
        <w:keepNext w:val="0"/>
        <w:keepLines w:val="0"/>
        <w:pageBreakBefore w:val="0"/>
        <w:widowControl/>
        <w:numPr>
          <w:ilvl w:val="1"/>
          <w:numId w:val="16"/>
        </w:numPr>
        <w:kinsoku/>
        <w:wordWrap/>
        <w:overflowPunct/>
        <w:topLinePunct w:val="0"/>
        <w:autoSpaceDE/>
        <w:autoSpaceDN/>
        <w:bidi w:val="0"/>
        <w:adjustRightInd/>
        <w:snapToGrid/>
        <w:spacing w:line="360" w:lineRule="exact"/>
        <w:ind w:left="840" w:leftChars="0" w:hanging="420"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输液架1个，网篮1个；</w:t>
      </w:r>
    </w:p>
    <w:p>
      <w:pPr>
        <w:keepNext w:val="0"/>
        <w:keepLines w:val="0"/>
        <w:pageBreakBefore w:val="0"/>
        <w:widowControl/>
        <w:numPr>
          <w:ilvl w:val="1"/>
          <w:numId w:val="16"/>
        </w:numPr>
        <w:kinsoku/>
        <w:wordWrap/>
        <w:overflowPunct/>
        <w:topLinePunct w:val="0"/>
        <w:autoSpaceDE/>
        <w:autoSpaceDN/>
        <w:bidi w:val="0"/>
        <w:adjustRightInd/>
        <w:snapToGrid/>
        <w:spacing w:line="360" w:lineRule="exact"/>
        <w:ind w:left="840" w:leftChars="0" w:hanging="420"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独立电源空气开关；</w:t>
      </w:r>
    </w:p>
    <w:p>
      <w:pPr>
        <w:keepNext w:val="0"/>
        <w:keepLines w:val="0"/>
        <w:pageBreakBefore w:val="0"/>
        <w:widowControl/>
        <w:numPr>
          <w:ilvl w:val="0"/>
          <w:numId w:val="16"/>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湿区配置：与干区一致。</w:t>
      </w:r>
    </w:p>
    <w:p>
      <w:pPr>
        <w:keepNext w:val="0"/>
        <w:keepLines w:val="0"/>
        <w:pageBreakBefore w:val="0"/>
        <w:widowControl/>
        <w:kinsoku/>
        <w:wordWrap/>
        <w:overflowPunct/>
        <w:topLinePunct w:val="0"/>
        <w:autoSpaceDE/>
        <w:autoSpaceDN/>
        <w:bidi w:val="0"/>
        <w:adjustRightInd/>
        <w:snapToGrid/>
        <w:spacing w:line="460" w:lineRule="exact"/>
        <w:jc w:val="left"/>
        <w:textAlignment w:val="auto"/>
        <w:outlineLvl w:val="9"/>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序号7、CRCU-单臂吊塔参数及配置要求：</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参数要求：</w:t>
      </w:r>
    </w:p>
    <w:p>
      <w:pPr>
        <w:keepNext w:val="0"/>
        <w:keepLines w:val="0"/>
        <w:pageBreakBefore w:val="0"/>
        <w:widowControl/>
        <w:numPr>
          <w:ilvl w:val="0"/>
          <w:numId w:val="17"/>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吊塔主体材料至少为高强度铝合金，防腐蚀；</w:t>
      </w:r>
    </w:p>
    <w:p>
      <w:pPr>
        <w:keepNext w:val="0"/>
        <w:keepLines w:val="0"/>
        <w:pageBreakBefore w:val="0"/>
        <w:widowControl/>
        <w:numPr>
          <w:ilvl w:val="0"/>
          <w:numId w:val="17"/>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表面可抑制细菌再生，可耐受多种消毒剂，不发生变色、开裂、锈蚀等外观破损现象；</w:t>
      </w:r>
    </w:p>
    <w:p>
      <w:pPr>
        <w:keepNext w:val="0"/>
        <w:keepLines w:val="0"/>
        <w:pageBreakBefore w:val="0"/>
        <w:widowControl/>
        <w:numPr>
          <w:ilvl w:val="0"/>
          <w:numId w:val="17"/>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机械吊塔承重≥600Kg，同时安全承重应为宣称承重的4倍；</w:t>
      </w:r>
    </w:p>
    <w:p>
      <w:pPr>
        <w:keepNext w:val="0"/>
        <w:keepLines w:val="0"/>
        <w:pageBreakBefore w:val="0"/>
        <w:widowControl/>
        <w:numPr>
          <w:ilvl w:val="0"/>
          <w:numId w:val="17"/>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各回转机构旋转角度≥340°,转动范围应能够覆盖病人所需区域，并配备旋转限位装置。关节轴承可在额定载荷下，运行次数≥10万次；桥式吊塔滑车最大移动范围不小于600mm；</w:t>
      </w:r>
    </w:p>
    <w:p>
      <w:pPr>
        <w:keepNext w:val="0"/>
        <w:keepLines w:val="0"/>
        <w:pageBreakBefore w:val="0"/>
        <w:widowControl/>
        <w:numPr>
          <w:ilvl w:val="0"/>
          <w:numId w:val="17"/>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使用进口医用气体管路，符合EN ISO5359标准；</w:t>
      </w:r>
    </w:p>
    <w:p>
      <w:pPr>
        <w:keepNext w:val="0"/>
        <w:keepLines w:val="0"/>
        <w:pageBreakBefore w:val="0"/>
        <w:widowControl/>
        <w:numPr>
          <w:ilvl w:val="0"/>
          <w:numId w:val="17"/>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供电电缆必须采用阻燃、低烟、无卤的铜芯线缆，线缆截面积≥4mm²；</w:t>
      </w:r>
    </w:p>
    <w:p>
      <w:pPr>
        <w:keepNext w:val="0"/>
        <w:keepLines w:val="0"/>
        <w:pageBreakBefore w:val="0"/>
        <w:widowControl/>
        <w:numPr>
          <w:ilvl w:val="0"/>
          <w:numId w:val="17"/>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内部用气电分离设计，气体终端及强弱电终端最好位于箱体同侧同面，便于临床观察及操作；</w:t>
      </w:r>
    </w:p>
    <w:p>
      <w:pPr>
        <w:keepNext w:val="0"/>
        <w:keepLines w:val="0"/>
        <w:pageBreakBefore w:val="0"/>
        <w:widowControl/>
        <w:numPr>
          <w:ilvl w:val="0"/>
          <w:numId w:val="17"/>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吊塔所有气体终端和接头为德标制式，各种气体终端均为不同颜色和不同形状，金属外壳，具有原位待接通状态功能，可带气维修，并提供8万次以上插拔测试证明；</w:t>
      </w:r>
    </w:p>
    <w:p>
      <w:pPr>
        <w:keepNext w:val="0"/>
        <w:keepLines w:val="0"/>
        <w:pageBreakBefore w:val="0"/>
        <w:widowControl/>
        <w:numPr>
          <w:ilvl w:val="0"/>
          <w:numId w:val="17"/>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每个塔体必须配备独立电源空气开关，防止短路影响整体供电；</w:t>
      </w:r>
    </w:p>
    <w:p>
      <w:pPr>
        <w:keepNext w:val="0"/>
        <w:keepLines w:val="0"/>
        <w:pageBreakBefore w:val="0"/>
        <w:widowControl/>
        <w:numPr>
          <w:ilvl w:val="0"/>
          <w:numId w:val="17"/>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吊塔产品通过CE认证（提供检测报告或证明材料）。</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配置要求：</w:t>
      </w:r>
    </w:p>
    <w:p>
      <w:pPr>
        <w:keepNext w:val="0"/>
        <w:keepLines w:val="0"/>
        <w:pageBreakBefore w:val="0"/>
        <w:widowControl/>
        <w:numPr>
          <w:ilvl w:val="0"/>
          <w:numId w:val="18"/>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机械单臂吊塔，单臂长度≥750mm；</w:t>
      </w:r>
    </w:p>
    <w:p>
      <w:pPr>
        <w:keepNext w:val="0"/>
        <w:keepLines w:val="0"/>
        <w:pageBreakBefore w:val="0"/>
        <w:widowControl/>
        <w:numPr>
          <w:ilvl w:val="0"/>
          <w:numId w:val="18"/>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气体终端：氧气接口3个，空气接口3个，负压接口3个，均为德标；</w:t>
      </w:r>
    </w:p>
    <w:p>
      <w:pPr>
        <w:keepNext w:val="0"/>
        <w:keepLines w:val="0"/>
        <w:pageBreakBefore w:val="0"/>
        <w:widowControl/>
        <w:numPr>
          <w:ilvl w:val="0"/>
          <w:numId w:val="18"/>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10A电源接口：数量≥10个；</w:t>
      </w:r>
    </w:p>
    <w:p>
      <w:pPr>
        <w:keepNext w:val="0"/>
        <w:keepLines w:val="0"/>
        <w:pageBreakBefore w:val="0"/>
        <w:widowControl/>
        <w:numPr>
          <w:ilvl w:val="0"/>
          <w:numId w:val="18"/>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RJ45网络接口≥2个；</w:t>
      </w:r>
    </w:p>
    <w:p>
      <w:pPr>
        <w:keepNext w:val="0"/>
        <w:keepLines w:val="0"/>
        <w:pageBreakBefore w:val="0"/>
        <w:widowControl/>
        <w:numPr>
          <w:ilvl w:val="0"/>
          <w:numId w:val="18"/>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托盘层数≥3，托盘尺寸≥400*400mm，承重≥</w:t>
      </w:r>
      <w:r>
        <w:rPr>
          <w:rFonts w:hint="eastAsia" w:ascii="方正仿宋简体" w:hAnsi="方正仿宋简体" w:eastAsia="方正仿宋简体" w:cs="方正仿宋简体"/>
          <w:b w:val="0"/>
          <w:bCs w:val="0"/>
          <w:color w:val="auto"/>
          <w:kern w:val="2"/>
          <w:sz w:val="28"/>
          <w:szCs w:val="28"/>
          <w:lang w:val="en-US" w:eastAsia="zh-CN" w:bidi="ar-SA"/>
        </w:rPr>
        <w:t>5</w:t>
      </w:r>
      <w:r>
        <w:rPr>
          <w:rFonts w:hint="default" w:ascii="方正仿宋简体" w:hAnsi="方正仿宋简体" w:eastAsia="方正仿宋简体" w:cs="方正仿宋简体"/>
          <w:b w:val="0"/>
          <w:bCs w:val="0"/>
          <w:color w:val="auto"/>
          <w:kern w:val="2"/>
          <w:sz w:val="28"/>
          <w:szCs w:val="28"/>
          <w:lang w:val="en-US" w:eastAsia="zh-CN" w:bidi="ar-SA"/>
        </w:rPr>
        <w:t>0kg，抽屉1个；</w:t>
      </w:r>
    </w:p>
    <w:p>
      <w:pPr>
        <w:keepNext w:val="0"/>
        <w:keepLines w:val="0"/>
        <w:pageBreakBefore w:val="0"/>
        <w:widowControl/>
        <w:numPr>
          <w:ilvl w:val="0"/>
          <w:numId w:val="18"/>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输液架2个，网篮1个；</w:t>
      </w:r>
    </w:p>
    <w:p>
      <w:pPr>
        <w:keepNext w:val="0"/>
        <w:keepLines w:val="0"/>
        <w:pageBreakBefore w:val="0"/>
        <w:widowControl/>
        <w:numPr>
          <w:ilvl w:val="0"/>
          <w:numId w:val="18"/>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独立电源空气开关</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kinsoku/>
        <w:wordWrap/>
        <w:overflowPunct/>
        <w:topLinePunct w:val="0"/>
        <w:autoSpaceDE/>
        <w:autoSpaceDN/>
        <w:bidi w:val="0"/>
        <w:adjustRightInd/>
        <w:snapToGrid/>
        <w:spacing w:line="460" w:lineRule="exact"/>
        <w:jc w:val="left"/>
        <w:textAlignment w:val="auto"/>
        <w:outlineLvl w:val="9"/>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序号8、介入中心-加长臂单头无影灯参数及配置要求：</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参数要求：</w:t>
      </w:r>
    </w:p>
    <w:p>
      <w:pPr>
        <w:keepNext w:val="0"/>
        <w:keepLines w:val="0"/>
        <w:pageBreakBefore w:val="0"/>
        <w:widowControl/>
        <w:numPr>
          <w:ilvl w:val="0"/>
          <w:numId w:val="19"/>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灯珠寿命≥60000小时；</w:t>
      </w:r>
    </w:p>
    <w:p>
      <w:pPr>
        <w:keepNext w:val="0"/>
        <w:keepLines w:val="0"/>
        <w:pageBreakBefore w:val="0"/>
        <w:widowControl/>
        <w:numPr>
          <w:ilvl w:val="0"/>
          <w:numId w:val="19"/>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单灯</w:t>
      </w:r>
      <w:r>
        <w:rPr>
          <w:rFonts w:hint="eastAsia" w:ascii="方正仿宋简体" w:hAnsi="方正仿宋简体" w:eastAsia="方正仿宋简体" w:cs="方正仿宋简体"/>
          <w:b w:val="0"/>
          <w:bCs w:val="0"/>
          <w:color w:val="auto"/>
          <w:kern w:val="2"/>
          <w:sz w:val="28"/>
          <w:szCs w:val="28"/>
          <w:lang w:val="en-US" w:eastAsia="zh-CN" w:bidi="ar-SA"/>
        </w:rPr>
        <w:t>：</w:t>
      </w:r>
      <w:r>
        <w:rPr>
          <w:rFonts w:hint="default" w:ascii="方正仿宋简体" w:hAnsi="方正仿宋简体" w:eastAsia="方正仿宋简体" w:cs="方正仿宋简体"/>
          <w:b w:val="0"/>
          <w:bCs w:val="0"/>
          <w:color w:val="auto"/>
          <w:kern w:val="2"/>
          <w:sz w:val="28"/>
          <w:szCs w:val="28"/>
          <w:lang w:val="en-US" w:eastAsia="zh-CN" w:bidi="ar-SA"/>
        </w:rPr>
        <w:t>最大照度≥160,000Lux</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19"/>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照明深度≥1000mm，深腔照明率100%；</w:t>
      </w:r>
    </w:p>
    <w:p>
      <w:pPr>
        <w:keepNext w:val="0"/>
        <w:keepLines w:val="0"/>
        <w:pageBreakBefore w:val="0"/>
        <w:widowControl/>
        <w:numPr>
          <w:ilvl w:val="0"/>
          <w:numId w:val="19"/>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光斑均匀率d50:d10在55%-65%；</w:t>
      </w:r>
    </w:p>
    <w:p>
      <w:pPr>
        <w:keepNext w:val="0"/>
        <w:keepLines w:val="0"/>
        <w:pageBreakBefore w:val="0"/>
        <w:widowControl/>
        <w:numPr>
          <w:ilvl w:val="0"/>
          <w:numId w:val="19"/>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无影灯可360°旋转，轻巧灵活、定位稳定；</w:t>
      </w:r>
    </w:p>
    <w:p>
      <w:pPr>
        <w:keepNext w:val="0"/>
        <w:keepLines w:val="0"/>
        <w:pageBreakBefore w:val="0"/>
        <w:widowControl/>
        <w:numPr>
          <w:ilvl w:val="0"/>
          <w:numId w:val="19"/>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亮度、</w:t>
      </w:r>
      <w:r>
        <w:rPr>
          <w:rFonts w:hint="default" w:ascii="方正仿宋简体" w:hAnsi="方正仿宋简体" w:eastAsia="方正仿宋简体" w:cs="方正仿宋简体"/>
          <w:b w:val="0"/>
          <w:bCs w:val="0"/>
          <w:color w:val="auto"/>
          <w:kern w:val="2"/>
          <w:sz w:val="28"/>
          <w:szCs w:val="28"/>
          <w:lang w:val="en-US" w:eastAsia="zh-CN" w:bidi="ar-SA"/>
        </w:rPr>
        <w:t>色温可调功能</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19"/>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加长臂无影灯</w:t>
      </w:r>
      <w:r>
        <w:rPr>
          <w:rFonts w:hint="default" w:ascii="方正仿宋简体" w:hAnsi="方正仿宋简体" w:eastAsia="方正仿宋简体" w:cs="方正仿宋简体"/>
          <w:b w:val="0"/>
          <w:bCs w:val="0"/>
          <w:color w:val="auto"/>
          <w:kern w:val="2"/>
          <w:sz w:val="28"/>
          <w:szCs w:val="28"/>
          <w:lang w:val="en-US" w:eastAsia="zh-CN" w:bidi="ar-SA"/>
        </w:rPr>
        <w:t>吊顶基座需远离天轨，不得影响DSA正常运行</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19"/>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手术灯悬吊系统下的延伸臂可供手术灯水平连续回转，C臂绕弹簧臂旋转范围：无限位，小C臂绕大C臂旋转范围：无限位，且灯头绕小C臂旋转范围：无限位。</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配置要求：</w:t>
      </w:r>
    </w:p>
    <w:p>
      <w:pPr>
        <w:keepNext w:val="0"/>
        <w:keepLines w:val="0"/>
        <w:pageBreakBefore w:val="0"/>
        <w:widowControl/>
        <w:numPr>
          <w:ilvl w:val="0"/>
          <w:numId w:val="20"/>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单灯及C臂，灯臂关节处配置按键板；</w:t>
      </w:r>
    </w:p>
    <w:p>
      <w:pPr>
        <w:keepNext w:val="0"/>
        <w:keepLines w:val="0"/>
        <w:pageBreakBefore w:val="0"/>
        <w:widowControl/>
        <w:numPr>
          <w:ilvl w:val="0"/>
          <w:numId w:val="20"/>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加长弹簧臂，需根据DSA实际情况调整臂长；</w:t>
      </w:r>
    </w:p>
    <w:p>
      <w:pPr>
        <w:keepNext w:val="0"/>
        <w:keepLines w:val="0"/>
        <w:pageBreakBefore w:val="0"/>
        <w:widowControl/>
        <w:numPr>
          <w:ilvl w:val="0"/>
          <w:numId w:val="20"/>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灭菌手柄2个；</w:t>
      </w:r>
    </w:p>
    <w:p>
      <w:pPr>
        <w:keepNext w:val="0"/>
        <w:keepLines w:val="0"/>
        <w:pageBreakBefore w:val="0"/>
        <w:widowControl/>
        <w:numPr>
          <w:ilvl w:val="0"/>
          <w:numId w:val="20"/>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普通手柄1个。</w:t>
      </w:r>
    </w:p>
    <w:p>
      <w:pPr>
        <w:keepNext w:val="0"/>
        <w:keepLines w:val="0"/>
        <w:pageBreakBefore w:val="0"/>
        <w:widowControl/>
        <w:kinsoku/>
        <w:wordWrap/>
        <w:overflowPunct/>
        <w:topLinePunct w:val="0"/>
        <w:autoSpaceDE/>
        <w:autoSpaceDN/>
        <w:bidi w:val="0"/>
        <w:adjustRightInd/>
        <w:snapToGrid/>
        <w:spacing w:line="460" w:lineRule="exact"/>
        <w:jc w:val="left"/>
        <w:textAlignment w:val="auto"/>
        <w:outlineLvl w:val="9"/>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序号9、手术室-双头无影灯参数及配置要求：</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参数要求：</w:t>
      </w:r>
    </w:p>
    <w:p>
      <w:pPr>
        <w:keepNext w:val="0"/>
        <w:keepLines w:val="0"/>
        <w:pageBreakBefore w:val="0"/>
        <w:widowControl/>
        <w:numPr>
          <w:ilvl w:val="0"/>
          <w:numId w:val="21"/>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灯珠寿命≥60000小时；</w:t>
      </w:r>
    </w:p>
    <w:p>
      <w:pPr>
        <w:keepNext w:val="0"/>
        <w:keepLines w:val="0"/>
        <w:pageBreakBefore w:val="0"/>
        <w:widowControl/>
        <w:numPr>
          <w:ilvl w:val="0"/>
          <w:numId w:val="21"/>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子母灯：母灯最大照度≥160,000Lux,子灯最大照度≥120,000Lux；</w:t>
      </w:r>
    </w:p>
    <w:p>
      <w:pPr>
        <w:keepNext w:val="0"/>
        <w:keepLines w:val="0"/>
        <w:pageBreakBefore w:val="0"/>
        <w:widowControl/>
        <w:numPr>
          <w:ilvl w:val="0"/>
          <w:numId w:val="21"/>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照明深度≥1000mm，深腔照明率100%；</w:t>
      </w:r>
    </w:p>
    <w:p>
      <w:pPr>
        <w:keepNext w:val="0"/>
        <w:keepLines w:val="0"/>
        <w:pageBreakBefore w:val="0"/>
        <w:widowControl/>
        <w:numPr>
          <w:ilvl w:val="0"/>
          <w:numId w:val="21"/>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光斑均匀率d50:d10在55%-65%；</w:t>
      </w:r>
    </w:p>
    <w:p>
      <w:pPr>
        <w:keepNext w:val="0"/>
        <w:keepLines w:val="0"/>
        <w:pageBreakBefore w:val="0"/>
        <w:widowControl/>
        <w:numPr>
          <w:ilvl w:val="0"/>
          <w:numId w:val="21"/>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无影灯可360°旋转，轻巧灵活、定位稳定；</w:t>
      </w:r>
    </w:p>
    <w:p>
      <w:pPr>
        <w:keepNext w:val="0"/>
        <w:keepLines w:val="0"/>
        <w:pageBreakBefore w:val="0"/>
        <w:widowControl/>
        <w:numPr>
          <w:ilvl w:val="0"/>
          <w:numId w:val="21"/>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亮度、</w:t>
      </w:r>
      <w:r>
        <w:rPr>
          <w:rFonts w:hint="default" w:ascii="方正仿宋简体" w:hAnsi="方正仿宋简体" w:eastAsia="方正仿宋简体" w:cs="方正仿宋简体"/>
          <w:b w:val="0"/>
          <w:bCs w:val="0"/>
          <w:color w:val="auto"/>
          <w:kern w:val="2"/>
          <w:sz w:val="28"/>
          <w:szCs w:val="28"/>
          <w:lang w:val="en-US" w:eastAsia="zh-CN" w:bidi="ar-SA"/>
        </w:rPr>
        <w:t>色温可调功能</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21"/>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手术灯悬吊系统下的延伸臂可供手术灯水平连续回转，C臂绕弹簧臂旋转范围：无限位，小C臂绕大C臂旋转范围：无限位，且灯头绕小C臂旋转范围：无限位。</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配置要求：</w:t>
      </w:r>
    </w:p>
    <w:p>
      <w:pPr>
        <w:keepNext w:val="0"/>
        <w:keepLines w:val="0"/>
        <w:pageBreakBefore w:val="0"/>
        <w:widowControl/>
        <w:numPr>
          <w:ilvl w:val="0"/>
          <w:numId w:val="22"/>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子母灯及C臂，灯臂关节处配置按键板</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22"/>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灭菌手柄4个</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22"/>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普通手柄2个</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kinsoku/>
        <w:wordWrap/>
        <w:overflowPunct/>
        <w:topLinePunct w:val="0"/>
        <w:autoSpaceDE/>
        <w:autoSpaceDN/>
        <w:bidi w:val="0"/>
        <w:adjustRightInd/>
        <w:snapToGrid/>
        <w:spacing w:line="460" w:lineRule="exact"/>
        <w:jc w:val="left"/>
        <w:textAlignment w:val="auto"/>
        <w:outlineLvl w:val="9"/>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序号10、手术室-加长臂单头无影灯参数及配置要求：</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参数要求：</w:t>
      </w:r>
    </w:p>
    <w:p>
      <w:pPr>
        <w:keepNext w:val="0"/>
        <w:keepLines w:val="0"/>
        <w:pageBreakBefore w:val="0"/>
        <w:widowControl/>
        <w:numPr>
          <w:ilvl w:val="0"/>
          <w:numId w:val="23"/>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灯珠寿命≥60000小时；</w:t>
      </w:r>
    </w:p>
    <w:p>
      <w:pPr>
        <w:keepNext w:val="0"/>
        <w:keepLines w:val="0"/>
        <w:pageBreakBefore w:val="0"/>
        <w:widowControl/>
        <w:numPr>
          <w:ilvl w:val="0"/>
          <w:numId w:val="23"/>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单灯</w:t>
      </w:r>
      <w:r>
        <w:rPr>
          <w:rFonts w:hint="eastAsia" w:ascii="方正仿宋简体" w:hAnsi="方正仿宋简体" w:eastAsia="方正仿宋简体" w:cs="方正仿宋简体"/>
          <w:b w:val="0"/>
          <w:bCs w:val="0"/>
          <w:color w:val="auto"/>
          <w:kern w:val="2"/>
          <w:sz w:val="28"/>
          <w:szCs w:val="28"/>
          <w:lang w:val="en-US" w:eastAsia="zh-CN" w:bidi="ar-SA"/>
        </w:rPr>
        <w:t>：</w:t>
      </w:r>
      <w:r>
        <w:rPr>
          <w:rFonts w:hint="default" w:ascii="方正仿宋简体" w:hAnsi="方正仿宋简体" w:eastAsia="方正仿宋简体" w:cs="方正仿宋简体"/>
          <w:b w:val="0"/>
          <w:bCs w:val="0"/>
          <w:color w:val="auto"/>
          <w:kern w:val="2"/>
          <w:sz w:val="28"/>
          <w:szCs w:val="28"/>
          <w:lang w:val="en-US" w:eastAsia="zh-CN" w:bidi="ar-SA"/>
        </w:rPr>
        <w:t>最大照度≥160,000Lux</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23"/>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照明深度≥1000mm，深腔照明率100%；</w:t>
      </w:r>
    </w:p>
    <w:p>
      <w:pPr>
        <w:keepNext w:val="0"/>
        <w:keepLines w:val="0"/>
        <w:pageBreakBefore w:val="0"/>
        <w:widowControl/>
        <w:numPr>
          <w:ilvl w:val="0"/>
          <w:numId w:val="23"/>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光斑均匀率d50:d10在55%-65%；</w:t>
      </w:r>
    </w:p>
    <w:p>
      <w:pPr>
        <w:keepNext w:val="0"/>
        <w:keepLines w:val="0"/>
        <w:pageBreakBefore w:val="0"/>
        <w:widowControl/>
        <w:numPr>
          <w:ilvl w:val="0"/>
          <w:numId w:val="23"/>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无影灯可360°旋转，轻巧灵活、定位稳定；</w:t>
      </w:r>
    </w:p>
    <w:p>
      <w:pPr>
        <w:keepNext w:val="0"/>
        <w:keepLines w:val="0"/>
        <w:pageBreakBefore w:val="0"/>
        <w:widowControl/>
        <w:numPr>
          <w:ilvl w:val="0"/>
          <w:numId w:val="23"/>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亮度、</w:t>
      </w:r>
      <w:r>
        <w:rPr>
          <w:rFonts w:hint="default" w:ascii="方正仿宋简体" w:hAnsi="方正仿宋简体" w:eastAsia="方正仿宋简体" w:cs="方正仿宋简体"/>
          <w:b w:val="0"/>
          <w:bCs w:val="0"/>
          <w:color w:val="auto"/>
          <w:kern w:val="2"/>
          <w:sz w:val="28"/>
          <w:szCs w:val="28"/>
          <w:lang w:val="en-US" w:eastAsia="zh-CN" w:bidi="ar-SA"/>
        </w:rPr>
        <w:t>色温可调功能</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23"/>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加长臂无影灯</w:t>
      </w:r>
      <w:r>
        <w:rPr>
          <w:rFonts w:hint="default" w:ascii="方正仿宋简体" w:hAnsi="方正仿宋简体" w:eastAsia="方正仿宋简体" w:cs="方正仿宋简体"/>
          <w:b w:val="0"/>
          <w:bCs w:val="0"/>
          <w:color w:val="auto"/>
          <w:kern w:val="2"/>
          <w:sz w:val="28"/>
          <w:szCs w:val="28"/>
          <w:lang w:val="en-US" w:eastAsia="zh-CN" w:bidi="ar-SA"/>
        </w:rPr>
        <w:t>吊顶基座需远离天轨，不得影响DSA正常运行</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numPr>
          <w:ilvl w:val="0"/>
          <w:numId w:val="23"/>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手术灯悬吊系统下的延伸臂可供手术灯水平连续回转，C臂绕弹簧臂旋转范围：无限位，小C臂绕大C臂旋转范围：无限位，且灯头绕小C臂旋转范围：无限位。</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配置要求：</w:t>
      </w:r>
    </w:p>
    <w:p>
      <w:pPr>
        <w:keepNext w:val="0"/>
        <w:keepLines w:val="0"/>
        <w:pageBreakBefore w:val="0"/>
        <w:widowControl/>
        <w:numPr>
          <w:ilvl w:val="0"/>
          <w:numId w:val="24"/>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单灯及C臂，灯臂关节处配置按键板；</w:t>
      </w:r>
    </w:p>
    <w:p>
      <w:pPr>
        <w:keepNext w:val="0"/>
        <w:keepLines w:val="0"/>
        <w:pageBreakBefore w:val="0"/>
        <w:widowControl/>
        <w:numPr>
          <w:ilvl w:val="0"/>
          <w:numId w:val="24"/>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加长弹簧臂，需根据DSA实际情况调整臂长；</w:t>
      </w:r>
    </w:p>
    <w:p>
      <w:pPr>
        <w:keepNext w:val="0"/>
        <w:keepLines w:val="0"/>
        <w:pageBreakBefore w:val="0"/>
        <w:widowControl/>
        <w:numPr>
          <w:ilvl w:val="0"/>
          <w:numId w:val="24"/>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灭菌手柄2个；</w:t>
      </w:r>
    </w:p>
    <w:p>
      <w:pPr>
        <w:keepNext w:val="0"/>
        <w:keepLines w:val="0"/>
        <w:pageBreakBefore w:val="0"/>
        <w:widowControl/>
        <w:numPr>
          <w:ilvl w:val="0"/>
          <w:numId w:val="24"/>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普通手柄1个。</w:t>
      </w:r>
    </w:p>
    <w:p>
      <w:pPr>
        <w:keepNext w:val="0"/>
        <w:keepLines w:val="0"/>
        <w:pageBreakBefore w:val="0"/>
        <w:widowControl/>
        <w:kinsoku/>
        <w:wordWrap/>
        <w:overflowPunct/>
        <w:topLinePunct w:val="0"/>
        <w:autoSpaceDE/>
        <w:autoSpaceDN/>
        <w:bidi w:val="0"/>
        <w:adjustRightInd/>
        <w:snapToGrid/>
        <w:spacing w:line="460" w:lineRule="exact"/>
        <w:jc w:val="left"/>
        <w:textAlignment w:val="auto"/>
        <w:outlineLvl w:val="9"/>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序号11、手术室-</w:t>
      </w:r>
      <w:r>
        <w:rPr>
          <w:rFonts w:hint="default" w:ascii="方正仿宋简体" w:hAnsi="方正仿宋简体" w:eastAsia="方正仿宋简体" w:cs="方正仿宋简体"/>
          <w:b/>
          <w:bCs/>
          <w:color w:val="auto"/>
          <w:kern w:val="2"/>
          <w:sz w:val="30"/>
          <w:szCs w:val="30"/>
          <w:highlight w:val="none"/>
          <w:lang w:val="en-US" w:eastAsia="zh-CN" w:bidi="ar-SA"/>
        </w:rPr>
        <w:t>骨科</w:t>
      </w:r>
      <w:r>
        <w:rPr>
          <w:rFonts w:hint="eastAsia" w:ascii="方正仿宋简体" w:hAnsi="方正仿宋简体" w:eastAsia="方正仿宋简体" w:cs="方正仿宋简体"/>
          <w:b/>
          <w:bCs/>
          <w:color w:val="auto"/>
          <w:kern w:val="2"/>
          <w:sz w:val="30"/>
          <w:szCs w:val="30"/>
          <w:highlight w:val="none"/>
          <w:lang w:val="en-US" w:eastAsia="zh-CN" w:bidi="ar-SA"/>
        </w:rPr>
        <w:t>手术</w:t>
      </w:r>
      <w:r>
        <w:rPr>
          <w:rFonts w:hint="default" w:ascii="方正仿宋简体" w:hAnsi="方正仿宋简体" w:eastAsia="方正仿宋简体" w:cs="方正仿宋简体"/>
          <w:b/>
          <w:bCs/>
          <w:color w:val="auto"/>
          <w:kern w:val="2"/>
          <w:sz w:val="30"/>
          <w:szCs w:val="30"/>
          <w:highlight w:val="none"/>
          <w:lang w:val="en-US" w:eastAsia="zh-CN" w:bidi="ar-SA"/>
        </w:rPr>
        <w:t>床</w:t>
      </w:r>
      <w:r>
        <w:rPr>
          <w:rFonts w:hint="eastAsia" w:ascii="方正仿宋简体" w:hAnsi="方正仿宋简体" w:eastAsia="方正仿宋简体" w:cs="方正仿宋简体"/>
          <w:b/>
          <w:bCs/>
          <w:color w:val="auto"/>
          <w:kern w:val="2"/>
          <w:sz w:val="30"/>
          <w:szCs w:val="30"/>
          <w:highlight w:val="none"/>
          <w:lang w:val="en-US" w:eastAsia="zh-CN" w:bidi="ar-SA"/>
        </w:rPr>
        <w:t>参数及配置要求：</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参数要求：</w:t>
      </w:r>
    </w:p>
    <w:p>
      <w:pPr>
        <w:keepNext w:val="0"/>
        <w:keepLines w:val="0"/>
        <w:pageBreakBefore w:val="0"/>
        <w:widowControl/>
        <w:numPr>
          <w:ilvl w:val="0"/>
          <w:numId w:val="25"/>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电动液压驱动，</w:t>
      </w:r>
      <w:r>
        <w:rPr>
          <w:rFonts w:hint="eastAsia" w:ascii="方正仿宋简体" w:hAnsi="方正仿宋简体" w:eastAsia="方正仿宋简体" w:cs="方正仿宋简体"/>
          <w:b w:val="0"/>
          <w:bCs w:val="0"/>
          <w:color w:val="auto"/>
          <w:kern w:val="2"/>
          <w:sz w:val="28"/>
          <w:szCs w:val="28"/>
          <w:lang w:val="en-US" w:eastAsia="zh-CN" w:bidi="ar-SA"/>
        </w:rPr>
        <w:t>可</w:t>
      </w:r>
      <w:r>
        <w:rPr>
          <w:rFonts w:hint="default" w:ascii="方正仿宋简体" w:hAnsi="方正仿宋简体" w:eastAsia="方正仿宋简体" w:cs="方正仿宋简体"/>
          <w:b w:val="0"/>
          <w:bCs w:val="0"/>
          <w:color w:val="auto"/>
          <w:kern w:val="2"/>
          <w:sz w:val="28"/>
          <w:szCs w:val="28"/>
          <w:lang w:val="en-US" w:eastAsia="zh-CN" w:bidi="ar-SA"/>
        </w:rPr>
        <w:t>电动调节升降、前后倾、左右倾、台面背板转折、解锁和锁定，平移；</w:t>
      </w:r>
    </w:p>
    <w:p>
      <w:pPr>
        <w:keepNext w:val="0"/>
        <w:keepLines w:val="0"/>
        <w:pageBreakBefore w:val="0"/>
        <w:widowControl/>
        <w:numPr>
          <w:ilvl w:val="0"/>
          <w:numId w:val="25"/>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具备无线遥控操作及控制面板双操作；</w:t>
      </w:r>
    </w:p>
    <w:p>
      <w:pPr>
        <w:keepNext w:val="0"/>
        <w:keepLines w:val="0"/>
        <w:pageBreakBefore w:val="0"/>
        <w:widowControl/>
        <w:numPr>
          <w:ilvl w:val="0"/>
          <w:numId w:val="25"/>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供电方式为交流电，内置电池，无交流电源供电状态下仍可正常工作；</w:t>
      </w:r>
    </w:p>
    <w:p>
      <w:pPr>
        <w:keepNext w:val="0"/>
        <w:keepLines w:val="0"/>
        <w:pageBreakBefore w:val="0"/>
        <w:widowControl/>
        <w:numPr>
          <w:ilvl w:val="0"/>
          <w:numId w:val="25"/>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床面升降最低高度≤600mm，最高高度≥950mm；</w:t>
      </w:r>
    </w:p>
    <w:p>
      <w:pPr>
        <w:keepNext w:val="0"/>
        <w:keepLines w:val="0"/>
        <w:pageBreakBefore w:val="0"/>
        <w:widowControl/>
        <w:numPr>
          <w:ilvl w:val="0"/>
          <w:numId w:val="25"/>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最大承重≥400Kg；</w:t>
      </w:r>
    </w:p>
    <w:p>
      <w:pPr>
        <w:keepNext w:val="0"/>
        <w:keepLines w:val="0"/>
        <w:pageBreakBefore w:val="0"/>
        <w:widowControl/>
        <w:numPr>
          <w:ilvl w:val="0"/>
          <w:numId w:val="25"/>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床体配置四个脚轮及刹车系统；</w:t>
      </w:r>
    </w:p>
    <w:p>
      <w:pPr>
        <w:keepNext w:val="0"/>
        <w:keepLines w:val="0"/>
        <w:pageBreakBefore w:val="0"/>
        <w:widowControl/>
        <w:numPr>
          <w:ilvl w:val="0"/>
          <w:numId w:val="25"/>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记忆海绵床垫，表面无缝隙，防水防静电透气；</w:t>
      </w:r>
    </w:p>
    <w:p>
      <w:pPr>
        <w:keepNext w:val="0"/>
        <w:keepLines w:val="0"/>
        <w:pageBreakBefore w:val="0"/>
        <w:widowControl/>
        <w:numPr>
          <w:ilvl w:val="0"/>
          <w:numId w:val="25"/>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手术床</w:t>
      </w:r>
      <w:r>
        <w:rPr>
          <w:rFonts w:hint="eastAsia" w:ascii="方正仿宋简体" w:hAnsi="方正仿宋简体" w:eastAsia="方正仿宋简体" w:cs="方正仿宋简体"/>
          <w:b w:val="0"/>
          <w:bCs w:val="0"/>
          <w:color w:val="auto"/>
          <w:kern w:val="2"/>
          <w:sz w:val="28"/>
          <w:szCs w:val="28"/>
          <w:lang w:val="en-US" w:eastAsia="zh-CN" w:bidi="ar-SA"/>
        </w:rPr>
        <w:t>须</w:t>
      </w:r>
      <w:r>
        <w:rPr>
          <w:rFonts w:hint="default" w:ascii="方正仿宋简体" w:hAnsi="方正仿宋简体" w:eastAsia="方正仿宋简体" w:cs="方正仿宋简体"/>
          <w:b w:val="0"/>
          <w:bCs w:val="0"/>
          <w:color w:val="auto"/>
          <w:kern w:val="2"/>
          <w:sz w:val="28"/>
          <w:szCs w:val="28"/>
          <w:lang w:val="en-US" w:eastAsia="zh-CN" w:bidi="ar-SA"/>
        </w:rPr>
        <w:t>满足</w:t>
      </w:r>
      <w:r>
        <w:rPr>
          <w:rFonts w:hint="eastAsia" w:ascii="方正仿宋简体" w:hAnsi="方正仿宋简体" w:eastAsia="方正仿宋简体" w:cs="方正仿宋简体"/>
          <w:b w:val="0"/>
          <w:bCs w:val="0"/>
          <w:color w:val="auto"/>
          <w:kern w:val="2"/>
          <w:sz w:val="28"/>
          <w:szCs w:val="28"/>
          <w:lang w:val="en-US" w:eastAsia="zh-CN" w:bidi="ar-SA"/>
        </w:rPr>
        <w:t>术中X线透视</w:t>
      </w:r>
      <w:r>
        <w:rPr>
          <w:rFonts w:hint="default" w:ascii="方正仿宋简体" w:hAnsi="方正仿宋简体" w:eastAsia="方正仿宋简体" w:cs="方正仿宋简体"/>
          <w:b w:val="0"/>
          <w:bCs w:val="0"/>
          <w:color w:val="auto"/>
          <w:kern w:val="2"/>
          <w:sz w:val="28"/>
          <w:szCs w:val="28"/>
          <w:lang w:val="en-US" w:eastAsia="zh-CN" w:bidi="ar-SA"/>
        </w:rPr>
        <w:t>需求，透视空间≥1400mm</w:t>
      </w:r>
      <w:r>
        <w:rPr>
          <w:rFonts w:hint="eastAsia" w:ascii="方正仿宋简体" w:hAnsi="方正仿宋简体" w:eastAsia="方正仿宋简体" w:cs="方正仿宋简体"/>
          <w:b w:val="0"/>
          <w:bCs w:val="0"/>
          <w:color w:val="auto"/>
          <w:kern w:val="2"/>
          <w:sz w:val="28"/>
          <w:szCs w:val="28"/>
          <w:lang w:val="en-US" w:eastAsia="zh-CN" w:bidi="ar-SA"/>
        </w:rPr>
        <w:t>，具备头、腿板互换功能。</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配置要求：</w:t>
      </w:r>
    </w:p>
    <w:p>
      <w:pPr>
        <w:keepNext w:val="0"/>
        <w:keepLines w:val="0"/>
        <w:pageBreakBefore w:val="0"/>
        <w:widowControl/>
        <w:numPr>
          <w:ilvl w:val="0"/>
          <w:numId w:val="26"/>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床体一套；</w:t>
      </w:r>
    </w:p>
    <w:p>
      <w:pPr>
        <w:keepNext w:val="0"/>
        <w:keepLines w:val="0"/>
        <w:pageBreakBefore w:val="0"/>
        <w:widowControl/>
        <w:numPr>
          <w:ilvl w:val="0"/>
          <w:numId w:val="26"/>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头板、腿板、背板、腰板、臀板各一套；</w:t>
      </w:r>
    </w:p>
    <w:p>
      <w:pPr>
        <w:keepNext w:val="0"/>
        <w:keepLines w:val="0"/>
        <w:pageBreakBefore w:val="0"/>
        <w:widowControl/>
        <w:numPr>
          <w:ilvl w:val="0"/>
          <w:numId w:val="26"/>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床垫一套；</w:t>
      </w:r>
    </w:p>
    <w:p>
      <w:pPr>
        <w:keepNext w:val="0"/>
        <w:keepLines w:val="0"/>
        <w:pageBreakBefore w:val="0"/>
        <w:widowControl/>
        <w:numPr>
          <w:ilvl w:val="0"/>
          <w:numId w:val="26"/>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手控器一个；</w:t>
      </w:r>
    </w:p>
    <w:p>
      <w:pPr>
        <w:keepNext w:val="0"/>
        <w:keepLines w:val="0"/>
        <w:pageBreakBefore w:val="0"/>
        <w:widowControl/>
        <w:numPr>
          <w:ilvl w:val="0"/>
          <w:numId w:val="26"/>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搁手板一对；</w:t>
      </w:r>
    </w:p>
    <w:p>
      <w:pPr>
        <w:keepNext w:val="0"/>
        <w:keepLines w:val="0"/>
        <w:pageBreakBefore w:val="0"/>
        <w:widowControl/>
        <w:numPr>
          <w:ilvl w:val="0"/>
          <w:numId w:val="26"/>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支身架一对；</w:t>
      </w:r>
    </w:p>
    <w:p>
      <w:pPr>
        <w:keepNext w:val="0"/>
        <w:keepLines w:val="0"/>
        <w:pageBreakBefore w:val="0"/>
        <w:widowControl/>
        <w:numPr>
          <w:ilvl w:val="0"/>
          <w:numId w:val="26"/>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支肩架一对；</w:t>
      </w:r>
    </w:p>
    <w:p>
      <w:pPr>
        <w:keepNext w:val="0"/>
        <w:keepLines w:val="0"/>
        <w:pageBreakBefore w:val="0"/>
        <w:widowControl/>
        <w:numPr>
          <w:ilvl w:val="0"/>
          <w:numId w:val="26"/>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托腿架一对；</w:t>
      </w:r>
    </w:p>
    <w:p>
      <w:pPr>
        <w:keepNext w:val="0"/>
        <w:keepLines w:val="0"/>
        <w:pageBreakBefore w:val="0"/>
        <w:widowControl/>
        <w:numPr>
          <w:ilvl w:val="0"/>
          <w:numId w:val="26"/>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麻醉架一套。</w:t>
      </w:r>
    </w:p>
    <w:p>
      <w:pPr>
        <w:keepNext w:val="0"/>
        <w:keepLines w:val="0"/>
        <w:pageBreakBefore w:val="0"/>
        <w:widowControl/>
        <w:kinsoku/>
        <w:wordWrap/>
        <w:overflowPunct/>
        <w:topLinePunct w:val="0"/>
        <w:autoSpaceDE/>
        <w:autoSpaceDN/>
        <w:bidi w:val="0"/>
        <w:adjustRightInd/>
        <w:snapToGrid/>
        <w:spacing w:line="460" w:lineRule="exact"/>
        <w:jc w:val="left"/>
        <w:textAlignment w:val="auto"/>
        <w:outlineLvl w:val="9"/>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序号12、手术室-</w:t>
      </w:r>
      <w:r>
        <w:rPr>
          <w:rFonts w:hint="default" w:ascii="方正仿宋简体" w:hAnsi="方正仿宋简体" w:eastAsia="方正仿宋简体" w:cs="方正仿宋简体"/>
          <w:b/>
          <w:bCs/>
          <w:color w:val="auto"/>
          <w:kern w:val="2"/>
          <w:sz w:val="30"/>
          <w:szCs w:val="30"/>
          <w:highlight w:val="none"/>
          <w:lang w:val="en-US" w:eastAsia="zh-CN" w:bidi="ar-SA"/>
        </w:rPr>
        <w:t>骨科</w:t>
      </w:r>
      <w:r>
        <w:rPr>
          <w:rFonts w:hint="eastAsia" w:ascii="方正仿宋简体" w:hAnsi="方正仿宋简体" w:eastAsia="方正仿宋简体" w:cs="方正仿宋简体"/>
          <w:b/>
          <w:bCs/>
          <w:color w:val="auto"/>
          <w:kern w:val="2"/>
          <w:sz w:val="30"/>
          <w:szCs w:val="30"/>
          <w:highlight w:val="none"/>
          <w:lang w:val="en-US" w:eastAsia="zh-CN" w:bidi="ar-SA"/>
        </w:rPr>
        <w:t>手术</w:t>
      </w:r>
      <w:r>
        <w:rPr>
          <w:rFonts w:hint="default" w:ascii="方正仿宋简体" w:hAnsi="方正仿宋简体" w:eastAsia="方正仿宋简体" w:cs="方正仿宋简体"/>
          <w:b/>
          <w:bCs/>
          <w:color w:val="auto"/>
          <w:kern w:val="2"/>
          <w:sz w:val="30"/>
          <w:szCs w:val="30"/>
          <w:highlight w:val="none"/>
          <w:lang w:val="en-US" w:eastAsia="zh-CN" w:bidi="ar-SA"/>
        </w:rPr>
        <w:t>床</w:t>
      </w:r>
      <w:r>
        <w:rPr>
          <w:rFonts w:hint="eastAsia" w:ascii="方正仿宋简体" w:hAnsi="方正仿宋简体" w:eastAsia="方正仿宋简体" w:cs="方正仿宋简体"/>
          <w:b/>
          <w:bCs/>
          <w:color w:val="auto"/>
          <w:kern w:val="2"/>
          <w:sz w:val="30"/>
          <w:szCs w:val="30"/>
          <w:highlight w:val="none"/>
          <w:lang w:val="en-US" w:eastAsia="zh-CN" w:bidi="ar-SA"/>
        </w:rPr>
        <w:t>（含牵引架）参数及配置要求：</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参数要求：</w:t>
      </w:r>
    </w:p>
    <w:p>
      <w:pPr>
        <w:keepNext w:val="0"/>
        <w:keepLines w:val="0"/>
        <w:pageBreakBefore w:val="0"/>
        <w:widowControl/>
        <w:numPr>
          <w:ilvl w:val="0"/>
          <w:numId w:val="27"/>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电动液压驱动，</w:t>
      </w:r>
      <w:r>
        <w:rPr>
          <w:rFonts w:hint="eastAsia" w:ascii="方正仿宋简体" w:hAnsi="方正仿宋简体" w:eastAsia="方正仿宋简体" w:cs="方正仿宋简体"/>
          <w:b w:val="0"/>
          <w:bCs w:val="0"/>
          <w:color w:val="auto"/>
          <w:kern w:val="2"/>
          <w:sz w:val="28"/>
          <w:szCs w:val="28"/>
          <w:lang w:val="en-US" w:eastAsia="zh-CN" w:bidi="ar-SA"/>
        </w:rPr>
        <w:t>可</w:t>
      </w:r>
      <w:r>
        <w:rPr>
          <w:rFonts w:hint="default" w:ascii="方正仿宋简体" w:hAnsi="方正仿宋简体" w:eastAsia="方正仿宋简体" w:cs="方正仿宋简体"/>
          <w:b w:val="0"/>
          <w:bCs w:val="0"/>
          <w:color w:val="auto"/>
          <w:kern w:val="2"/>
          <w:sz w:val="28"/>
          <w:szCs w:val="28"/>
          <w:lang w:val="en-US" w:eastAsia="zh-CN" w:bidi="ar-SA"/>
        </w:rPr>
        <w:t>电动调节升降、前后倾、左右倾、台面背板转折、解锁和锁定，平移；</w:t>
      </w:r>
    </w:p>
    <w:p>
      <w:pPr>
        <w:keepNext w:val="0"/>
        <w:keepLines w:val="0"/>
        <w:pageBreakBefore w:val="0"/>
        <w:widowControl/>
        <w:numPr>
          <w:ilvl w:val="0"/>
          <w:numId w:val="27"/>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具备无线遥控操作及控制面板双操作；</w:t>
      </w:r>
    </w:p>
    <w:p>
      <w:pPr>
        <w:keepNext w:val="0"/>
        <w:keepLines w:val="0"/>
        <w:pageBreakBefore w:val="0"/>
        <w:widowControl/>
        <w:numPr>
          <w:ilvl w:val="0"/>
          <w:numId w:val="27"/>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供电方式为交流电，内置电池，无交流电源供电状态下仍可正常工作；</w:t>
      </w:r>
    </w:p>
    <w:p>
      <w:pPr>
        <w:keepNext w:val="0"/>
        <w:keepLines w:val="0"/>
        <w:pageBreakBefore w:val="0"/>
        <w:widowControl/>
        <w:numPr>
          <w:ilvl w:val="0"/>
          <w:numId w:val="27"/>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床面升降最低高度≤600mm，最高高度≥950mm；</w:t>
      </w:r>
    </w:p>
    <w:p>
      <w:pPr>
        <w:keepNext w:val="0"/>
        <w:keepLines w:val="0"/>
        <w:pageBreakBefore w:val="0"/>
        <w:widowControl/>
        <w:numPr>
          <w:ilvl w:val="0"/>
          <w:numId w:val="27"/>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最大承重≥400Kg；</w:t>
      </w:r>
    </w:p>
    <w:p>
      <w:pPr>
        <w:keepNext w:val="0"/>
        <w:keepLines w:val="0"/>
        <w:pageBreakBefore w:val="0"/>
        <w:widowControl/>
        <w:numPr>
          <w:ilvl w:val="0"/>
          <w:numId w:val="27"/>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床体配置四个脚轮及刹车系统；</w:t>
      </w:r>
    </w:p>
    <w:p>
      <w:pPr>
        <w:keepNext w:val="0"/>
        <w:keepLines w:val="0"/>
        <w:pageBreakBefore w:val="0"/>
        <w:widowControl/>
        <w:numPr>
          <w:ilvl w:val="0"/>
          <w:numId w:val="27"/>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记忆海绵床垫，表面无缝隙，防水防静电透气；</w:t>
      </w:r>
    </w:p>
    <w:p>
      <w:pPr>
        <w:keepNext w:val="0"/>
        <w:keepLines w:val="0"/>
        <w:pageBreakBefore w:val="0"/>
        <w:widowControl/>
        <w:numPr>
          <w:ilvl w:val="0"/>
          <w:numId w:val="27"/>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手术床</w:t>
      </w:r>
      <w:r>
        <w:rPr>
          <w:rFonts w:hint="eastAsia" w:ascii="方正仿宋简体" w:hAnsi="方正仿宋简体" w:eastAsia="方正仿宋简体" w:cs="方正仿宋简体"/>
          <w:b w:val="0"/>
          <w:bCs w:val="0"/>
          <w:color w:val="auto"/>
          <w:kern w:val="2"/>
          <w:sz w:val="28"/>
          <w:szCs w:val="28"/>
          <w:lang w:val="en-US" w:eastAsia="zh-CN" w:bidi="ar-SA"/>
        </w:rPr>
        <w:t>须</w:t>
      </w:r>
      <w:r>
        <w:rPr>
          <w:rFonts w:hint="default" w:ascii="方正仿宋简体" w:hAnsi="方正仿宋简体" w:eastAsia="方正仿宋简体" w:cs="方正仿宋简体"/>
          <w:b w:val="0"/>
          <w:bCs w:val="0"/>
          <w:color w:val="auto"/>
          <w:kern w:val="2"/>
          <w:sz w:val="28"/>
          <w:szCs w:val="28"/>
          <w:lang w:val="en-US" w:eastAsia="zh-CN" w:bidi="ar-SA"/>
        </w:rPr>
        <w:t>满足</w:t>
      </w:r>
      <w:r>
        <w:rPr>
          <w:rFonts w:hint="eastAsia" w:ascii="方正仿宋简体" w:hAnsi="方正仿宋简体" w:eastAsia="方正仿宋简体" w:cs="方正仿宋简体"/>
          <w:b w:val="0"/>
          <w:bCs w:val="0"/>
          <w:color w:val="auto"/>
          <w:kern w:val="2"/>
          <w:sz w:val="28"/>
          <w:szCs w:val="28"/>
          <w:lang w:val="en-US" w:eastAsia="zh-CN" w:bidi="ar-SA"/>
        </w:rPr>
        <w:t>术中X线透视</w:t>
      </w:r>
      <w:r>
        <w:rPr>
          <w:rFonts w:hint="default" w:ascii="方正仿宋简体" w:hAnsi="方正仿宋简体" w:eastAsia="方正仿宋简体" w:cs="方正仿宋简体"/>
          <w:b w:val="0"/>
          <w:bCs w:val="0"/>
          <w:color w:val="auto"/>
          <w:kern w:val="2"/>
          <w:sz w:val="28"/>
          <w:szCs w:val="28"/>
          <w:lang w:val="en-US" w:eastAsia="zh-CN" w:bidi="ar-SA"/>
        </w:rPr>
        <w:t>需求，透视空间≥1400mm</w:t>
      </w:r>
      <w:r>
        <w:rPr>
          <w:rFonts w:hint="eastAsia" w:ascii="方正仿宋简体" w:hAnsi="方正仿宋简体" w:eastAsia="方正仿宋简体" w:cs="方正仿宋简体"/>
          <w:b w:val="0"/>
          <w:bCs w:val="0"/>
          <w:color w:val="auto"/>
          <w:kern w:val="2"/>
          <w:sz w:val="28"/>
          <w:szCs w:val="28"/>
          <w:lang w:val="en-US" w:eastAsia="zh-CN" w:bidi="ar-SA"/>
        </w:rPr>
        <w:t>，具备头、腿板互换功能。</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配置要求：</w:t>
      </w:r>
    </w:p>
    <w:p>
      <w:pPr>
        <w:keepNext w:val="0"/>
        <w:keepLines w:val="0"/>
        <w:pageBreakBefore w:val="0"/>
        <w:widowControl/>
        <w:numPr>
          <w:ilvl w:val="0"/>
          <w:numId w:val="28"/>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床体一套；</w:t>
      </w:r>
    </w:p>
    <w:p>
      <w:pPr>
        <w:keepNext w:val="0"/>
        <w:keepLines w:val="0"/>
        <w:pageBreakBefore w:val="0"/>
        <w:widowControl/>
        <w:numPr>
          <w:ilvl w:val="0"/>
          <w:numId w:val="28"/>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头板、腿板、背板、腰板、臀板各一套；</w:t>
      </w:r>
    </w:p>
    <w:p>
      <w:pPr>
        <w:keepNext w:val="0"/>
        <w:keepLines w:val="0"/>
        <w:pageBreakBefore w:val="0"/>
        <w:widowControl/>
        <w:numPr>
          <w:ilvl w:val="0"/>
          <w:numId w:val="28"/>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床垫一套；</w:t>
      </w:r>
    </w:p>
    <w:p>
      <w:pPr>
        <w:keepNext w:val="0"/>
        <w:keepLines w:val="0"/>
        <w:pageBreakBefore w:val="0"/>
        <w:widowControl/>
        <w:numPr>
          <w:ilvl w:val="0"/>
          <w:numId w:val="28"/>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手控器一个；</w:t>
      </w:r>
    </w:p>
    <w:p>
      <w:pPr>
        <w:keepNext w:val="0"/>
        <w:keepLines w:val="0"/>
        <w:pageBreakBefore w:val="0"/>
        <w:widowControl/>
        <w:numPr>
          <w:ilvl w:val="0"/>
          <w:numId w:val="28"/>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搁手板一对；</w:t>
      </w:r>
    </w:p>
    <w:p>
      <w:pPr>
        <w:keepNext w:val="0"/>
        <w:keepLines w:val="0"/>
        <w:pageBreakBefore w:val="0"/>
        <w:widowControl/>
        <w:numPr>
          <w:ilvl w:val="0"/>
          <w:numId w:val="28"/>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支身架一对；</w:t>
      </w:r>
    </w:p>
    <w:p>
      <w:pPr>
        <w:keepNext w:val="0"/>
        <w:keepLines w:val="0"/>
        <w:pageBreakBefore w:val="0"/>
        <w:widowControl/>
        <w:numPr>
          <w:ilvl w:val="0"/>
          <w:numId w:val="28"/>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支肩架一对；</w:t>
      </w:r>
    </w:p>
    <w:p>
      <w:pPr>
        <w:keepNext w:val="0"/>
        <w:keepLines w:val="0"/>
        <w:pageBreakBefore w:val="0"/>
        <w:widowControl/>
        <w:numPr>
          <w:ilvl w:val="0"/>
          <w:numId w:val="28"/>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托腿架一对；</w:t>
      </w:r>
    </w:p>
    <w:p>
      <w:pPr>
        <w:keepNext w:val="0"/>
        <w:keepLines w:val="0"/>
        <w:pageBreakBefore w:val="0"/>
        <w:widowControl/>
        <w:numPr>
          <w:ilvl w:val="0"/>
          <w:numId w:val="28"/>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麻醉架一套；</w:t>
      </w:r>
    </w:p>
    <w:p>
      <w:pPr>
        <w:keepNext w:val="0"/>
        <w:keepLines w:val="0"/>
        <w:pageBreakBefore w:val="0"/>
        <w:widowControl/>
        <w:numPr>
          <w:ilvl w:val="0"/>
          <w:numId w:val="28"/>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骨科牵引架一套。</w:t>
      </w:r>
    </w:p>
    <w:p>
      <w:pPr>
        <w:keepNext w:val="0"/>
        <w:keepLines w:val="0"/>
        <w:pageBreakBefore w:val="0"/>
        <w:widowControl/>
        <w:kinsoku/>
        <w:wordWrap/>
        <w:overflowPunct/>
        <w:topLinePunct w:val="0"/>
        <w:autoSpaceDE/>
        <w:autoSpaceDN/>
        <w:bidi w:val="0"/>
        <w:adjustRightInd/>
        <w:snapToGrid/>
        <w:spacing w:line="460" w:lineRule="exact"/>
        <w:jc w:val="left"/>
        <w:textAlignment w:val="auto"/>
        <w:outlineLvl w:val="9"/>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序号13、手术室-超低位手术床参数及配置要求：</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参数要求：</w:t>
      </w:r>
    </w:p>
    <w:p>
      <w:pPr>
        <w:keepNext w:val="0"/>
        <w:keepLines w:val="0"/>
        <w:pageBreakBefore w:val="0"/>
        <w:widowControl/>
        <w:numPr>
          <w:ilvl w:val="0"/>
          <w:numId w:val="29"/>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电动液压驱动，</w:t>
      </w:r>
      <w:r>
        <w:rPr>
          <w:rFonts w:hint="eastAsia" w:ascii="方正仿宋简体" w:hAnsi="方正仿宋简体" w:eastAsia="方正仿宋简体" w:cs="方正仿宋简体"/>
          <w:b w:val="0"/>
          <w:bCs w:val="0"/>
          <w:color w:val="auto"/>
          <w:kern w:val="2"/>
          <w:sz w:val="28"/>
          <w:szCs w:val="28"/>
          <w:lang w:val="en-US" w:eastAsia="zh-CN" w:bidi="ar-SA"/>
        </w:rPr>
        <w:t>可</w:t>
      </w:r>
      <w:r>
        <w:rPr>
          <w:rFonts w:hint="default" w:ascii="方正仿宋简体" w:hAnsi="方正仿宋简体" w:eastAsia="方正仿宋简体" w:cs="方正仿宋简体"/>
          <w:b w:val="0"/>
          <w:bCs w:val="0"/>
          <w:color w:val="auto"/>
          <w:kern w:val="2"/>
          <w:sz w:val="28"/>
          <w:szCs w:val="28"/>
          <w:lang w:val="en-US" w:eastAsia="zh-CN" w:bidi="ar-SA"/>
        </w:rPr>
        <w:t>电动调节升降、前后倾、左右倾、台面背板转折、解锁和锁定，平移；</w:t>
      </w:r>
    </w:p>
    <w:p>
      <w:pPr>
        <w:keepNext w:val="0"/>
        <w:keepLines w:val="0"/>
        <w:pageBreakBefore w:val="0"/>
        <w:widowControl/>
        <w:numPr>
          <w:ilvl w:val="0"/>
          <w:numId w:val="29"/>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具备无线遥控操作及控制面板双操作；</w:t>
      </w:r>
    </w:p>
    <w:p>
      <w:pPr>
        <w:keepNext w:val="0"/>
        <w:keepLines w:val="0"/>
        <w:pageBreakBefore w:val="0"/>
        <w:widowControl/>
        <w:numPr>
          <w:ilvl w:val="0"/>
          <w:numId w:val="29"/>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供电方式为交流电，内置电池，无交流电源供电状态下仍可正常工作；</w:t>
      </w:r>
    </w:p>
    <w:p>
      <w:pPr>
        <w:keepNext w:val="0"/>
        <w:keepLines w:val="0"/>
        <w:pageBreakBefore w:val="0"/>
        <w:widowControl/>
        <w:numPr>
          <w:ilvl w:val="0"/>
          <w:numId w:val="29"/>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床面升降最低高度≤600mm，最高高度≥950mm；</w:t>
      </w:r>
    </w:p>
    <w:p>
      <w:pPr>
        <w:keepNext w:val="0"/>
        <w:keepLines w:val="0"/>
        <w:pageBreakBefore w:val="0"/>
        <w:widowControl/>
        <w:numPr>
          <w:ilvl w:val="0"/>
          <w:numId w:val="29"/>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最大承重≥400Kg；</w:t>
      </w:r>
    </w:p>
    <w:p>
      <w:pPr>
        <w:keepNext w:val="0"/>
        <w:keepLines w:val="0"/>
        <w:pageBreakBefore w:val="0"/>
        <w:widowControl/>
        <w:numPr>
          <w:ilvl w:val="0"/>
          <w:numId w:val="29"/>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床体配置四个脚轮及刹车系统；</w:t>
      </w:r>
    </w:p>
    <w:p>
      <w:pPr>
        <w:keepNext w:val="0"/>
        <w:keepLines w:val="0"/>
        <w:pageBreakBefore w:val="0"/>
        <w:widowControl/>
        <w:numPr>
          <w:ilvl w:val="0"/>
          <w:numId w:val="29"/>
        </w:numPr>
        <w:kinsoku/>
        <w:wordWrap/>
        <w:overflowPunct/>
        <w:topLinePunct w:val="0"/>
        <w:autoSpaceDE/>
        <w:autoSpaceDN/>
        <w:bidi w:val="0"/>
        <w:adjustRightInd/>
        <w:snapToGrid/>
        <w:spacing w:line="360" w:lineRule="exact"/>
        <w:ind w:left="425" w:leftChars="0" w:hanging="425" w:firstLineChars="0"/>
        <w:jc w:val="left"/>
        <w:textAlignment w:val="auto"/>
        <w:rPr>
          <w:rFonts w:hint="default" w:ascii="方正仿宋简体" w:hAnsi="方正仿宋简体" w:eastAsia="方正仿宋简体" w:cs="方正仿宋简体"/>
          <w:b w:val="0"/>
          <w:bCs w:val="0"/>
          <w:color w:val="auto"/>
          <w:kern w:val="2"/>
          <w:sz w:val="28"/>
          <w:szCs w:val="28"/>
          <w:lang w:val="en-US" w:eastAsia="zh-CN" w:bidi="ar-SA"/>
        </w:rPr>
      </w:pPr>
      <w:r>
        <w:rPr>
          <w:rFonts w:hint="default" w:ascii="方正仿宋简体" w:hAnsi="方正仿宋简体" w:eastAsia="方正仿宋简体" w:cs="方正仿宋简体"/>
          <w:b w:val="0"/>
          <w:bCs w:val="0"/>
          <w:color w:val="auto"/>
          <w:kern w:val="2"/>
          <w:sz w:val="28"/>
          <w:szCs w:val="28"/>
          <w:lang w:val="en-US" w:eastAsia="zh-CN" w:bidi="ar-SA"/>
        </w:rPr>
        <w:t>记忆海绵床垫，表面无缝隙，防水防静电透气</w:t>
      </w:r>
      <w:r>
        <w:rPr>
          <w:rFonts w:hint="eastAsia" w:ascii="方正仿宋简体" w:hAnsi="方正仿宋简体" w:eastAsia="方正仿宋简体" w:cs="方正仿宋简体"/>
          <w:b w:val="0"/>
          <w:bCs w:val="0"/>
          <w:color w:val="auto"/>
          <w:kern w:val="2"/>
          <w:sz w:val="28"/>
          <w:szCs w:val="28"/>
          <w:lang w:val="en-US" w:eastAsia="zh-CN" w:bidi="ar-SA"/>
        </w:rPr>
        <w:t>。</w:t>
      </w:r>
    </w:p>
    <w:p>
      <w:pPr>
        <w:keepNext w:val="0"/>
        <w:keepLines w:val="0"/>
        <w:pageBreakBefore w:val="0"/>
        <w:widowControl/>
        <w:kinsoku/>
        <w:wordWrap/>
        <w:overflowPunct/>
        <w:topLinePunct w:val="0"/>
        <w:autoSpaceDE/>
        <w:autoSpaceDN/>
        <w:bidi w:val="0"/>
        <w:adjustRightInd/>
        <w:snapToGrid/>
        <w:spacing w:line="360" w:lineRule="exact"/>
        <w:jc w:val="left"/>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配置要求：</w:t>
      </w:r>
    </w:p>
    <w:p>
      <w:pPr>
        <w:keepNext w:val="0"/>
        <w:keepLines w:val="0"/>
        <w:pageBreakBefore w:val="0"/>
        <w:widowControl/>
        <w:numPr>
          <w:ilvl w:val="0"/>
          <w:numId w:val="30"/>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床体一套；</w:t>
      </w:r>
    </w:p>
    <w:p>
      <w:pPr>
        <w:keepNext w:val="0"/>
        <w:keepLines w:val="0"/>
        <w:pageBreakBefore w:val="0"/>
        <w:widowControl/>
        <w:numPr>
          <w:ilvl w:val="0"/>
          <w:numId w:val="30"/>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头板、腿板、背板、腰板、臀板各一套；</w:t>
      </w:r>
    </w:p>
    <w:p>
      <w:pPr>
        <w:keepNext w:val="0"/>
        <w:keepLines w:val="0"/>
        <w:pageBreakBefore w:val="0"/>
        <w:widowControl/>
        <w:numPr>
          <w:ilvl w:val="0"/>
          <w:numId w:val="30"/>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床垫一套；</w:t>
      </w:r>
    </w:p>
    <w:p>
      <w:pPr>
        <w:keepNext w:val="0"/>
        <w:keepLines w:val="0"/>
        <w:pageBreakBefore w:val="0"/>
        <w:widowControl/>
        <w:numPr>
          <w:ilvl w:val="0"/>
          <w:numId w:val="30"/>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手控器一个；</w:t>
      </w:r>
    </w:p>
    <w:p>
      <w:pPr>
        <w:keepNext w:val="0"/>
        <w:keepLines w:val="0"/>
        <w:pageBreakBefore w:val="0"/>
        <w:widowControl/>
        <w:numPr>
          <w:ilvl w:val="0"/>
          <w:numId w:val="30"/>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搁手板一对；</w:t>
      </w:r>
    </w:p>
    <w:p>
      <w:pPr>
        <w:keepNext w:val="0"/>
        <w:keepLines w:val="0"/>
        <w:pageBreakBefore w:val="0"/>
        <w:widowControl/>
        <w:numPr>
          <w:ilvl w:val="0"/>
          <w:numId w:val="30"/>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支身架一对；</w:t>
      </w:r>
    </w:p>
    <w:p>
      <w:pPr>
        <w:keepNext w:val="0"/>
        <w:keepLines w:val="0"/>
        <w:pageBreakBefore w:val="0"/>
        <w:widowControl/>
        <w:numPr>
          <w:ilvl w:val="0"/>
          <w:numId w:val="30"/>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支肩架一对；</w:t>
      </w:r>
    </w:p>
    <w:p>
      <w:pPr>
        <w:keepNext w:val="0"/>
        <w:keepLines w:val="0"/>
        <w:pageBreakBefore w:val="0"/>
        <w:widowControl/>
        <w:numPr>
          <w:ilvl w:val="0"/>
          <w:numId w:val="30"/>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托腿架一对；</w:t>
      </w:r>
    </w:p>
    <w:p>
      <w:pPr>
        <w:keepNext w:val="0"/>
        <w:keepLines w:val="0"/>
        <w:pageBreakBefore w:val="0"/>
        <w:widowControl/>
        <w:numPr>
          <w:ilvl w:val="0"/>
          <w:numId w:val="30"/>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val="0"/>
          <w:bCs w:val="0"/>
          <w:color w:val="auto"/>
          <w:kern w:val="2"/>
          <w:sz w:val="28"/>
          <w:szCs w:val="28"/>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麻醉架一套；</w:t>
      </w:r>
    </w:p>
    <w:p>
      <w:pPr>
        <w:keepNext w:val="0"/>
        <w:keepLines w:val="0"/>
        <w:pageBreakBefore w:val="0"/>
        <w:widowControl/>
        <w:numPr>
          <w:ilvl w:val="0"/>
          <w:numId w:val="30"/>
        </w:numPr>
        <w:kinsoku/>
        <w:wordWrap/>
        <w:overflowPunct/>
        <w:topLinePunct w:val="0"/>
        <w:autoSpaceDE/>
        <w:autoSpaceDN/>
        <w:bidi w:val="0"/>
        <w:adjustRightInd/>
        <w:snapToGrid/>
        <w:spacing w:line="360" w:lineRule="exact"/>
        <w:ind w:left="425" w:leftChars="0" w:hanging="425" w:firstLineChars="0"/>
        <w:jc w:val="left"/>
        <w:textAlignment w:val="auto"/>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val="0"/>
          <w:bCs w:val="0"/>
          <w:color w:val="auto"/>
          <w:kern w:val="2"/>
          <w:sz w:val="28"/>
          <w:szCs w:val="28"/>
          <w:lang w:val="en-US" w:eastAsia="zh-CN" w:bidi="ar-SA"/>
        </w:rPr>
        <w:t>腰桥一套。</w:t>
      </w:r>
    </w:p>
    <w:p>
      <w:pPr>
        <w:keepNext w:val="0"/>
        <w:keepLines w:val="0"/>
        <w:pageBreakBefore w:val="0"/>
        <w:widowControl/>
        <w:kinsoku/>
        <w:wordWrap/>
        <w:overflowPunct/>
        <w:topLinePunct w:val="0"/>
        <w:autoSpaceDE/>
        <w:autoSpaceDN/>
        <w:bidi w:val="0"/>
        <w:adjustRightInd/>
        <w:snapToGrid/>
        <w:spacing w:before="157" w:beforeLines="50" w:after="157" w:afterLines="50" w:line="460" w:lineRule="exact"/>
        <w:jc w:val="left"/>
        <w:textAlignment w:val="auto"/>
        <w:outlineLvl w:val="9"/>
        <w:rPr>
          <w:rFonts w:hint="default" w:ascii="方正仿宋简体" w:hAnsi="方正仿宋简体" w:eastAsia="方正仿宋简体" w:cs="方正仿宋简体"/>
          <w:b/>
          <w:bCs/>
          <w:color w:val="auto"/>
          <w:sz w:val="28"/>
          <w:szCs w:val="28"/>
          <w:highlight w:val="none"/>
          <w:lang w:val="en-US" w:eastAsia="zh-CN"/>
        </w:rPr>
      </w:pPr>
      <w:r>
        <w:rPr>
          <w:rFonts w:hint="eastAsia" w:ascii="方正仿宋简体" w:hAnsi="方正仿宋简体" w:eastAsia="方正仿宋简体" w:cs="方正仿宋简体"/>
          <w:b/>
          <w:bCs/>
          <w:sz w:val="28"/>
          <w:szCs w:val="28"/>
          <w:lang w:eastAsia="zh-CN"/>
        </w:rPr>
        <w:t>七、包</w:t>
      </w:r>
      <w:r>
        <w:rPr>
          <w:rFonts w:hint="eastAsia" w:ascii="方正仿宋简体" w:hAnsi="方正仿宋简体" w:eastAsia="方正仿宋简体" w:cs="方正仿宋简体"/>
          <w:b/>
          <w:bCs/>
          <w:sz w:val="28"/>
          <w:szCs w:val="28"/>
          <w:lang w:val="en-US" w:eastAsia="zh-CN"/>
        </w:rPr>
        <w:t>1中吊塔及多功能竖式设备塔类设备</w:t>
      </w:r>
      <w:r>
        <w:rPr>
          <w:rFonts w:hint="eastAsia" w:ascii="方正仿宋简体" w:hAnsi="方正仿宋简体" w:eastAsia="方正仿宋简体" w:cs="方正仿宋简体"/>
          <w:b/>
          <w:bCs/>
          <w:sz w:val="28"/>
          <w:szCs w:val="28"/>
          <w:lang w:eastAsia="zh-CN"/>
        </w:rPr>
        <w:t>免费质保年限不低于</w:t>
      </w:r>
      <w:r>
        <w:rPr>
          <w:rFonts w:hint="eastAsia" w:ascii="方正仿宋简体" w:hAnsi="方正仿宋简体" w:eastAsia="方正仿宋简体" w:cs="方正仿宋简体"/>
          <w:b/>
          <w:bCs/>
          <w:sz w:val="28"/>
          <w:szCs w:val="28"/>
          <w:lang w:val="en-US" w:eastAsia="zh-CN"/>
        </w:rPr>
        <w:t>5年；</w:t>
      </w:r>
      <w:r>
        <w:rPr>
          <w:rFonts w:hint="eastAsia" w:ascii="方正仿宋简体" w:hAnsi="方正仿宋简体" w:eastAsia="方正仿宋简体" w:cs="方正仿宋简体"/>
          <w:b/>
          <w:bCs/>
          <w:sz w:val="28"/>
          <w:szCs w:val="28"/>
          <w:lang w:eastAsia="zh-CN"/>
        </w:rPr>
        <w:t>包</w:t>
      </w:r>
      <w:r>
        <w:rPr>
          <w:rFonts w:hint="eastAsia" w:ascii="方正仿宋简体" w:hAnsi="方正仿宋简体" w:eastAsia="方正仿宋简体" w:cs="方正仿宋简体"/>
          <w:b/>
          <w:bCs/>
          <w:sz w:val="28"/>
          <w:szCs w:val="28"/>
          <w:lang w:val="en-US" w:eastAsia="zh-CN"/>
        </w:rPr>
        <w:t>1中手术无影灯</w:t>
      </w:r>
      <w:r>
        <w:rPr>
          <w:rFonts w:hint="eastAsia" w:ascii="方正仿宋简体" w:hAnsi="方正仿宋简体" w:eastAsia="方正仿宋简体" w:cs="方正仿宋简体"/>
          <w:b/>
          <w:bCs/>
          <w:color w:val="auto"/>
          <w:sz w:val="28"/>
          <w:szCs w:val="28"/>
          <w:highlight w:val="none"/>
          <w:lang w:val="en-US" w:eastAsia="zh-CN"/>
        </w:rPr>
        <w:t>类设备</w:t>
      </w:r>
      <w:r>
        <w:rPr>
          <w:rFonts w:hint="eastAsia" w:ascii="方正仿宋简体" w:hAnsi="方正仿宋简体" w:eastAsia="方正仿宋简体" w:cs="方正仿宋简体"/>
          <w:b/>
          <w:bCs/>
          <w:color w:val="auto"/>
          <w:sz w:val="28"/>
          <w:szCs w:val="28"/>
          <w:highlight w:val="none"/>
          <w:lang w:eastAsia="zh-CN"/>
        </w:rPr>
        <w:t>免费质保年限不低于</w:t>
      </w:r>
      <w:r>
        <w:rPr>
          <w:rFonts w:hint="eastAsia" w:ascii="方正仿宋简体" w:hAnsi="方正仿宋简体" w:eastAsia="方正仿宋简体" w:cs="方正仿宋简体"/>
          <w:b/>
          <w:bCs/>
          <w:color w:val="auto"/>
          <w:sz w:val="28"/>
          <w:szCs w:val="28"/>
          <w:highlight w:val="none"/>
          <w:lang w:val="en-US" w:eastAsia="zh-CN"/>
        </w:rPr>
        <w:t>5年；</w:t>
      </w:r>
      <w:r>
        <w:rPr>
          <w:rFonts w:hint="eastAsia" w:ascii="方正仿宋简体" w:hAnsi="方正仿宋简体" w:eastAsia="方正仿宋简体" w:cs="方正仿宋简体"/>
          <w:b/>
          <w:bCs/>
          <w:sz w:val="28"/>
          <w:szCs w:val="28"/>
          <w:lang w:eastAsia="zh-CN"/>
        </w:rPr>
        <w:t>包</w:t>
      </w:r>
      <w:r>
        <w:rPr>
          <w:rFonts w:hint="eastAsia" w:ascii="方正仿宋简体" w:hAnsi="方正仿宋简体" w:eastAsia="方正仿宋简体" w:cs="方正仿宋简体"/>
          <w:b/>
          <w:bCs/>
          <w:sz w:val="28"/>
          <w:szCs w:val="28"/>
          <w:lang w:val="en-US" w:eastAsia="zh-CN"/>
        </w:rPr>
        <w:t>1中</w:t>
      </w:r>
      <w:r>
        <w:rPr>
          <w:rFonts w:hint="eastAsia" w:ascii="方正仿宋简体" w:hAnsi="方正仿宋简体" w:eastAsia="方正仿宋简体" w:cs="方正仿宋简体"/>
          <w:b/>
          <w:bCs/>
          <w:color w:val="auto"/>
          <w:sz w:val="28"/>
          <w:szCs w:val="28"/>
          <w:highlight w:val="none"/>
          <w:lang w:val="en-US" w:eastAsia="zh-CN"/>
        </w:rPr>
        <w:t>手术床类设备</w:t>
      </w:r>
      <w:r>
        <w:rPr>
          <w:rFonts w:hint="eastAsia" w:ascii="方正仿宋简体" w:hAnsi="方正仿宋简体" w:eastAsia="方正仿宋简体" w:cs="方正仿宋简体"/>
          <w:b/>
          <w:bCs/>
          <w:color w:val="auto"/>
          <w:sz w:val="28"/>
          <w:szCs w:val="28"/>
          <w:highlight w:val="none"/>
          <w:lang w:eastAsia="zh-CN"/>
        </w:rPr>
        <w:t>免费质保年限不低于</w:t>
      </w:r>
      <w:r>
        <w:rPr>
          <w:rFonts w:hint="eastAsia" w:ascii="方正仿宋简体" w:hAnsi="方正仿宋简体" w:eastAsia="方正仿宋简体" w:cs="方正仿宋简体"/>
          <w:b/>
          <w:bCs/>
          <w:color w:val="auto"/>
          <w:sz w:val="28"/>
          <w:szCs w:val="28"/>
          <w:highlight w:val="none"/>
          <w:lang w:val="en-US" w:eastAsia="zh-CN"/>
        </w:rPr>
        <w:t>10年。</w:t>
      </w:r>
    </w:p>
    <w:p>
      <w:pPr>
        <w:keepNext w:val="0"/>
        <w:keepLines w:val="0"/>
        <w:pageBreakBefore w:val="0"/>
        <w:widowControl/>
        <w:kinsoku/>
        <w:wordWrap/>
        <w:overflowPunct/>
        <w:topLinePunct w:val="0"/>
        <w:autoSpaceDE/>
        <w:autoSpaceDN/>
        <w:bidi w:val="0"/>
        <w:adjustRightInd/>
        <w:snapToGrid/>
        <w:spacing w:after="157" w:afterLines="50" w:line="460" w:lineRule="exact"/>
        <w:jc w:val="left"/>
        <w:textAlignment w:val="auto"/>
        <w:outlineLvl w:val="9"/>
        <w:rPr>
          <w:rFonts w:hint="eastAsia" w:ascii="方正仿宋简体" w:hAnsi="方正仿宋简体" w:eastAsia="方正仿宋简体" w:cs="方正仿宋简体"/>
          <w:b/>
          <w:bCs/>
          <w:sz w:val="28"/>
          <w:szCs w:val="28"/>
          <w:lang w:val="en-US" w:eastAsia="zh-CN"/>
        </w:rPr>
      </w:pPr>
      <w:r>
        <w:rPr>
          <w:rFonts w:hint="eastAsia" w:ascii="方正仿宋简体" w:hAnsi="方正仿宋简体" w:eastAsia="方正仿宋简体" w:cs="方正仿宋简体"/>
          <w:b/>
          <w:bCs/>
          <w:sz w:val="28"/>
          <w:szCs w:val="28"/>
          <w:lang w:eastAsia="zh-CN"/>
        </w:rPr>
        <w:t>八、参加论证的供应商需要提交一套论证资料（正本</w:t>
      </w:r>
      <w:r>
        <w:rPr>
          <w:rFonts w:hint="eastAsia" w:ascii="方正仿宋简体" w:hAnsi="方正仿宋简体" w:eastAsia="方正仿宋简体" w:cs="方正仿宋简体"/>
          <w:b/>
          <w:bCs/>
          <w:sz w:val="28"/>
          <w:szCs w:val="28"/>
          <w:lang w:val="en-US" w:eastAsia="zh-CN"/>
        </w:rPr>
        <w:t>1本、副本3本</w:t>
      </w:r>
      <w:r>
        <w:rPr>
          <w:rFonts w:hint="eastAsia" w:ascii="方正仿宋简体" w:hAnsi="方正仿宋简体" w:eastAsia="方正仿宋简体" w:cs="方正仿宋简体"/>
          <w:b/>
          <w:bCs/>
          <w:sz w:val="28"/>
          <w:szCs w:val="28"/>
          <w:lang w:eastAsia="zh-CN"/>
        </w:rPr>
        <w:t>）。</w:t>
      </w:r>
      <w:r>
        <w:rPr>
          <w:rFonts w:hint="eastAsia" w:ascii="方正仿宋简体" w:hAnsi="方正仿宋简体" w:eastAsia="方正仿宋简体" w:cs="方正仿宋简体"/>
          <w:b/>
          <w:bCs/>
          <w:sz w:val="28"/>
          <w:szCs w:val="28"/>
          <w:lang w:val="en-US" w:eastAsia="zh-CN"/>
        </w:rPr>
        <w:t>包里涉及多个产品，参与论证的供应商可投一个产品，也可投几个产品或者投全部产品。</w:t>
      </w:r>
    </w:p>
    <w:p>
      <w:pPr>
        <w:keepNext w:val="0"/>
        <w:keepLines w:val="0"/>
        <w:pageBreakBefore w:val="0"/>
        <w:widowControl/>
        <w:kinsoku/>
        <w:wordWrap/>
        <w:overflowPunct/>
        <w:topLinePunct w:val="0"/>
        <w:autoSpaceDE/>
        <w:autoSpaceDN/>
        <w:bidi w:val="0"/>
        <w:adjustRightInd/>
        <w:snapToGrid/>
        <w:spacing w:after="157" w:afterLines="50" w:line="360" w:lineRule="exact"/>
        <w:jc w:val="left"/>
        <w:textAlignment w:val="auto"/>
        <w:outlineLvl w:val="9"/>
        <w:rPr>
          <w:rFonts w:hint="eastAsia" w:ascii="方正仿宋简体" w:hAnsi="方正仿宋简体" w:eastAsia="方正仿宋简体" w:cs="方正仿宋简体"/>
          <w:b/>
          <w:bCs/>
          <w:sz w:val="28"/>
          <w:szCs w:val="28"/>
          <w:lang w:val="en-US" w:eastAsia="zh-CN"/>
        </w:rPr>
      </w:pPr>
      <w:r>
        <w:rPr>
          <w:rFonts w:hint="eastAsia" w:ascii="方正仿宋简体" w:hAnsi="方正仿宋简体" w:eastAsia="方正仿宋简体" w:cs="方正仿宋简体"/>
          <w:b/>
          <w:bCs/>
          <w:sz w:val="28"/>
          <w:szCs w:val="28"/>
          <w:lang w:val="en-US" w:eastAsia="zh-CN"/>
        </w:rPr>
        <w:t>九、联系人</w:t>
      </w:r>
    </w:p>
    <w:p>
      <w:pPr>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eastAsia" w:ascii="方正仿宋简体" w:hAnsi="方正仿宋简体" w:eastAsia="方正仿宋简体" w:cs="方正仿宋简体"/>
          <w:b w:val="0"/>
          <w:bCs w:val="0"/>
          <w:color w:val="auto"/>
          <w:sz w:val="28"/>
          <w:szCs w:val="28"/>
          <w:lang w:val="en-US" w:eastAsia="zh-CN"/>
        </w:rPr>
      </w:pPr>
      <w:r>
        <w:rPr>
          <w:rFonts w:hint="eastAsia" w:ascii="方正仿宋简体" w:hAnsi="方正仿宋简体" w:eastAsia="方正仿宋简体" w:cs="方正仿宋简体"/>
          <w:b w:val="0"/>
          <w:bCs w:val="0"/>
          <w:color w:val="auto"/>
          <w:sz w:val="28"/>
          <w:szCs w:val="28"/>
          <w:lang w:val="en-US" w:eastAsia="zh-CN"/>
        </w:rPr>
        <w:t>南京市江宁医院： 袁翰超                联系电话：52087018</w:t>
      </w:r>
    </w:p>
    <w:p>
      <w:pPr>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eastAsia" w:ascii="方正仿宋简体" w:hAnsi="方正仿宋简体" w:eastAsia="方正仿宋简体" w:cs="方正仿宋简体"/>
          <w:b w:val="0"/>
          <w:bCs w:val="0"/>
          <w:color w:val="auto"/>
          <w:sz w:val="28"/>
          <w:szCs w:val="28"/>
          <w:lang w:val="en-US" w:eastAsia="zh-CN"/>
        </w:rPr>
      </w:pPr>
      <w:r>
        <w:rPr>
          <w:rFonts w:hint="eastAsia" w:ascii="方正仿宋简体" w:hAnsi="方正仿宋简体" w:eastAsia="方正仿宋简体" w:cs="方正仿宋简体"/>
          <w:b w:val="0"/>
          <w:bCs w:val="0"/>
          <w:color w:val="auto"/>
          <w:sz w:val="28"/>
          <w:szCs w:val="28"/>
          <w:lang w:val="en-US" w:eastAsia="zh-CN"/>
        </w:rPr>
        <w:t>江宁卫健委： 钱惠、史定金              联系电话：51191172</w:t>
      </w:r>
      <w:bookmarkStart w:id="1" w:name="_Hlk107847795"/>
    </w:p>
    <w:p>
      <w:pPr>
        <w:pStyle w:val="2"/>
      </w:pPr>
    </w:p>
    <w:p>
      <w:pPr>
        <w:pStyle w:val="25"/>
        <w:adjustRightInd w:val="0"/>
        <w:spacing w:before="160" w:after="160"/>
        <w:ind w:firstLine="0" w:firstLineChars="0"/>
        <w:contextualSpacing/>
        <w:rPr>
          <w:rFonts w:ascii="方正仿宋_GBK" w:eastAsia="方正仿宋_GBK"/>
          <w:b/>
          <w:sz w:val="32"/>
        </w:rPr>
      </w:pPr>
    </w:p>
    <w:p>
      <w:pPr>
        <w:pStyle w:val="25"/>
        <w:adjustRightInd w:val="0"/>
        <w:spacing w:before="160" w:after="160"/>
        <w:ind w:firstLine="0" w:firstLineChars="0"/>
        <w:contextualSpacing/>
        <w:rPr>
          <w:rFonts w:ascii="方正仿宋_GBK" w:eastAsia="方正仿宋_GBK"/>
          <w:b/>
          <w:sz w:val="32"/>
        </w:rPr>
      </w:pPr>
    </w:p>
    <w:p>
      <w:pPr>
        <w:pStyle w:val="25"/>
        <w:adjustRightInd w:val="0"/>
        <w:spacing w:before="160" w:after="160"/>
        <w:ind w:firstLine="0" w:firstLineChars="0"/>
        <w:contextualSpacing/>
        <w:rPr>
          <w:rFonts w:ascii="方正仿宋_GBK" w:eastAsia="方正仿宋_GBK"/>
          <w:b/>
          <w:sz w:val="32"/>
        </w:rPr>
      </w:pPr>
      <w:r>
        <w:rPr>
          <w:rFonts w:ascii="方正仿宋_GBK" w:eastAsia="方正仿宋_GBK"/>
          <w:b/>
          <w:sz w:val="32"/>
        </w:rPr>
        <w:t>附件</w:t>
      </w:r>
      <w:r>
        <w:rPr>
          <w:rFonts w:hint="eastAsia" w:ascii="方正仿宋_GBK" w:eastAsia="方正仿宋_GBK"/>
          <w:b/>
          <w:sz w:val="32"/>
        </w:rPr>
        <w:t>1</w:t>
      </w:r>
      <w:r>
        <w:rPr>
          <w:rFonts w:ascii="方正仿宋_GBK" w:eastAsia="方正仿宋_GBK"/>
          <w:b/>
          <w:sz w:val="32"/>
        </w:rPr>
        <w:t>：</w:t>
      </w:r>
    </w:p>
    <w:p>
      <w:pPr>
        <w:pStyle w:val="25"/>
        <w:adjustRightInd w:val="0"/>
        <w:spacing w:before="160" w:after="160"/>
        <w:ind w:firstLine="0" w:firstLineChars="0"/>
        <w:contextualSpacing/>
        <w:rPr>
          <w:rFonts w:ascii="方正仿宋_GBK" w:eastAsia="方正仿宋_GBK"/>
          <w:b/>
          <w:sz w:val="32"/>
        </w:rPr>
      </w:pPr>
    </w:p>
    <w:p>
      <w:pPr>
        <w:pStyle w:val="25"/>
        <w:adjustRightInd w:val="0"/>
        <w:spacing w:before="160" w:after="160"/>
        <w:ind w:firstLine="0" w:firstLineChars="0"/>
        <w:contextualSpacing/>
        <w:rPr>
          <w:rFonts w:ascii="方正仿宋_GBK" w:eastAsia="方正仿宋_GBK"/>
          <w:b/>
          <w:sz w:val="32"/>
        </w:rPr>
      </w:pPr>
    </w:p>
    <w:p>
      <w:pPr>
        <w:spacing w:line="500" w:lineRule="exact"/>
        <w:ind w:firstLine="779"/>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南京市政府采购供应商信用记录表</w:t>
      </w:r>
    </w:p>
    <w:p>
      <w:pPr>
        <w:spacing w:line="500" w:lineRule="exact"/>
        <w:ind w:firstLine="779"/>
        <w:jc w:val="center"/>
        <w:rPr>
          <w:rFonts w:hint="eastAsia" w:ascii="宋体" w:hAnsi="宋体" w:cs="宋体"/>
          <w:color w:val="auto"/>
          <w:sz w:val="44"/>
          <w:szCs w:val="44"/>
          <w:highlight w:val="none"/>
        </w:rPr>
      </w:pPr>
      <w:r>
        <w:rPr>
          <w:rFonts w:hint="eastAsia" w:ascii="宋体" w:hAnsi="宋体" w:cs="宋体"/>
          <w:bCs/>
          <w:color w:val="auto"/>
          <w:sz w:val="44"/>
          <w:szCs w:val="44"/>
          <w:highlight w:val="none"/>
        </w:rPr>
        <w:t>暨信用承诺书（格式）</w:t>
      </w:r>
    </w:p>
    <w:p>
      <w:pPr>
        <w:spacing w:line="500" w:lineRule="exact"/>
        <w:ind w:firstLine="372"/>
        <w:jc w:val="center"/>
        <w:rPr>
          <w:rFonts w:hint="eastAsia" w:ascii="宋体" w:hAnsi="宋体" w:cs="宋体"/>
          <w:b/>
          <w:bCs/>
          <w:color w:val="auto"/>
          <w:highlight w:val="none"/>
        </w:rPr>
      </w:pPr>
      <w:r>
        <w:rPr>
          <w:rFonts w:hint="eastAsia" w:ascii="宋体" w:hAnsi="宋体" w:cs="宋体"/>
          <w:bCs/>
          <w:color w:val="auto"/>
          <w:highlight w:val="none"/>
          <w:lang w:val="en-US" w:eastAsia="zh-CN"/>
        </w:rPr>
        <w:t xml:space="preserve">                                      </w:t>
      </w:r>
      <w:r>
        <w:rPr>
          <w:rFonts w:hint="eastAsia" w:ascii="宋体" w:hAnsi="宋体" w:cs="宋体"/>
          <w:bCs/>
          <w:color w:val="auto"/>
          <w:highlight w:val="none"/>
        </w:rPr>
        <w:t>年  月   日</w:t>
      </w:r>
    </w:p>
    <w:tbl>
      <w:tblPr>
        <w:tblStyle w:val="18"/>
        <w:tblW w:w="970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68"/>
        <w:gridCol w:w="3402"/>
        <w:gridCol w:w="2342"/>
        <w:gridCol w:w="22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1668" w:type="dxa"/>
            <w:vAlign w:val="top"/>
          </w:tcPr>
          <w:p>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单位名称</w:t>
            </w:r>
          </w:p>
        </w:tc>
        <w:tc>
          <w:tcPr>
            <w:tcW w:w="3402" w:type="dxa"/>
            <w:vAlign w:val="top"/>
          </w:tcPr>
          <w:p>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c>
          <w:tcPr>
            <w:tcW w:w="2342" w:type="dxa"/>
            <w:vAlign w:val="top"/>
          </w:tcPr>
          <w:p>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统一社会信用代码</w:t>
            </w:r>
          </w:p>
        </w:tc>
        <w:tc>
          <w:tcPr>
            <w:tcW w:w="2290" w:type="dxa"/>
            <w:vAlign w:val="top"/>
          </w:tcPr>
          <w:p>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1668" w:type="dxa"/>
            <w:vAlign w:val="top"/>
          </w:tcPr>
          <w:p>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法定代表人</w:t>
            </w:r>
          </w:p>
        </w:tc>
        <w:tc>
          <w:tcPr>
            <w:tcW w:w="3402" w:type="dxa"/>
            <w:vAlign w:val="top"/>
          </w:tcPr>
          <w:p>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c>
          <w:tcPr>
            <w:tcW w:w="2342" w:type="dxa"/>
            <w:vAlign w:val="top"/>
          </w:tcPr>
          <w:p>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联系人</w:t>
            </w:r>
          </w:p>
        </w:tc>
        <w:tc>
          <w:tcPr>
            <w:tcW w:w="2290" w:type="dxa"/>
            <w:vAlign w:val="top"/>
          </w:tcPr>
          <w:p>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1668" w:type="dxa"/>
            <w:vAlign w:val="top"/>
          </w:tcPr>
          <w:p>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 xml:space="preserve">联系地址 </w:t>
            </w:r>
          </w:p>
        </w:tc>
        <w:tc>
          <w:tcPr>
            <w:tcW w:w="3402" w:type="dxa"/>
            <w:vAlign w:val="top"/>
          </w:tcPr>
          <w:p>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c>
          <w:tcPr>
            <w:tcW w:w="2342" w:type="dxa"/>
            <w:vAlign w:val="top"/>
          </w:tcPr>
          <w:p>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联系电话</w:t>
            </w:r>
          </w:p>
        </w:tc>
        <w:tc>
          <w:tcPr>
            <w:tcW w:w="2290" w:type="dxa"/>
            <w:vAlign w:val="top"/>
          </w:tcPr>
          <w:p>
            <w:pPr>
              <w:widowControl w:val="0"/>
              <w:spacing w:line="360" w:lineRule="auto"/>
              <w:ind w:firstLine="373"/>
              <w:jc w:val="left"/>
              <w:rPr>
                <w:rFonts w:hint="eastAsia" w:ascii="宋体" w:hAnsi="宋体" w:eastAsia="宋体" w:cs="宋体"/>
                <w:b/>
                <w:bCs/>
                <w:color w:val="auto"/>
                <w:sz w:val="21"/>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59" w:hRule="atLeast"/>
        </w:trPr>
        <w:tc>
          <w:tcPr>
            <w:tcW w:w="1668" w:type="dxa"/>
            <w:vAlign w:val="top"/>
          </w:tcPr>
          <w:p>
            <w:pPr>
              <w:widowControl w:val="0"/>
              <w:spacing w:line="360" w:lineRule="auto"/>
              <w:ind w:firstLine="372"/>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信用承诺</w:t>
            </w:r>
          </w:p>
        </w:tc>
        <w:tc>
          <w:tcPr>
            <w:tcW w:w="8034" w:type="dxa"/>
            <w:gridSpan w:val="3"/>
            <w:vAlign w:val="top"/>
          </w:tcPr>
          <w:p>
            <w:pPr>
              <w:widowControl w:val="0"/>
              <w:spacing w:line="360" w:lineRule="auto"/>
              <w:ind w:firstLine="420"/>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我公司自愿参加</w:t>
            </w:r>
            <w:r>
              <w:rPr>
                <w:rFonts w:hint="eastAsia" w:ascii="方正仿宋_GBK" w:eastAsia="方正仿宋_GBK"/>
                <w:sz w:val="21"/>
                <w:szCs w:val="21"/>
              </w:rPr>
              <w:t>贵</w:t>
            </w:r>
            <w:r>
              <w:rPr>
                <w:rFonts w:hint="eastAsia" w:ascii="方正仿宋_GBK" w:eastAsia="方正仿宋_GBK"/>
                <w:sz w:val="21"/>
                <w:szCs w:val="21"/>
                <w:lang w:eastAsia="zh-CN"/>
              </w:rPr>
              <w:t>单位</w:t>
            </w:r>
            <w:r>
              <w:rPr>
                <w:rFonts w:hint="eastAsia" w:ascii="宋体" w:hAnsi="宋体" w:eastAsia="宋体" w:cs="宋体"/>
                <w:bCs/>
                <w:color w:val="auto"/>
                <w:sz w:val="21"/>
                <w:szCs w:val="24"/>
                <w:highlight w:val="none"/>
                <w:lang w:val="en-US" w:eastAsia="zh-CN" w:bidi="ar-SA"/>
              </w:rPr>
              <w:t>组织的本次采购活动，严格遵守《中华人民共和国</w:t>
            </w:r>
            <w:r>
              <w:rPr>
                <w:rFonts w:hint="eastAsia" w:ascii="宋体" w:hAnsi="宋体" w:eastAsia="宋体" w:cs="宋体"/>
                <w:color w:val="auto"/>
                <w:sz w:val="21"/>
                <w:szCs w:val="24"/>
                <w:highlight w:val="none"/>
                <w:lang w:val="en-US" w:eastAsia="zh-CN" w:bidi="ar-SA"/>
              </w:rPr>
              <w:t>政府采购法</w:t>
            </w:r>
            <w:r>
              <w:rPr>
                <w:rFonts w:hint="eastAsia" w:ascii="宋体" w:hAnsi="宋体" w:eastAsia="宋体" w:cs="宋体"/>
                <w:bCs/>
                <w:color w:val="auto"/>
                <w:sz w:val="21"/>
                <w:szCs w:val="24"/>
                <w:highlight w:val="none"/>
                <w:lang w:val="en-US" w:eastAsia="zh-CN" w:bidi="ar-SA"/>
              </w:rPr>
              <w:t>》及相关法律法规，坚守公开、公平、公证、诚实信用的原则，已发诚信经营，无条件遵守本次政府采购活动的各项规定。</w:t>
            </w:r>
          </w:p>
          <w:p>
            <w:pPr>
              <w:widowControl w:val="0"/>
              <w:spacing w:line="360" w:lineRule="auto"/>
              <w:ind w:firstLine="420"/>
              <w:jc w:val="left"/>
              <w:rPr>
                <w:rFonts w:hint="eastAsia" w:ascii="宋体" w:hAnsi="宋体" w:eastAsia="宋体" w:cs="宋体"/>
                <w:b/>
                <w:bCs/>
                <w:color w:val="auto"/>
                <w:sz w:val="21"/>
                <w:szCs w:val="24"/>
                <w:highlight w:val="none"/>
                <w:lang w:val="en-US" w:eastAsia="zh-CN" w:bidi="ar-SA"/>
              </w:rPr>
            </w:pPr>
            <w:r>
              <w:rPr>
                <w:rFonts w:hint="eastAsia" w:ascii="宋体" w:hAnsi="宋体" w:eastAsia="宋体" w:cs="宋体"/>
                <w:bCs/>
                <w:color w:val="auto"/>
                <w:sz w:val="21"/>
                <w:szCs w:val="24"/>
                <w:highlight w:val="none"/>
                <w:lang w:val="en-US" w:eastAsia="zh-CN" w:bidi="ar-SA"/>
              </w:rPr>
              <w:t>我们郑重承诺，本公司符合《政府采购法》第二十二条规定的条件，包括：具有独立承担民事责任的能力；具有良好的商业信誉和健全的财务会计制度；具有履行合同所必需的设备和专业技术能力；有依法缴纳税收和社会保障资金的良好记录；参加政府采购活动前三年内，在经营活动中没有重大违法记录；未被列入失信被执行人、重大税收违法失信主体、政府采购严重违法失信行为记录名单；符合法律、行政法规和采购文件规定的其他条件。如有弄虚作假或其他违法违规行为，愿承担一切法律责任，接受各级政府采购监督部门和有权机关的的审查和处罚。</w:t>
            </w:r>
          </w:p>
          <w:p>
            <w:pPr>
              <w:widowControl w:val="0"/>
              <w:spacing w:line="360" w:lineRule="auto"/>
              <w:ind w:firstLine="372"/>
              <w:jc w:val="center"/>
              <w:rPr>
                <w:rFonts w:hint="eastAsia" w:ascii="宋体" w:hAnsi="宋体" w:eastAsia="宋体" w:cs="宋体"/>
                <w:b/>
                <w:bCs/>
                <w:color w:val="auto"/>
                <w:sz w:val="21"/>
                <w:szCs w:val="24"/>
                <w:highlight w:val="none"/>
                <w:lang w:val="en-US" w:eastAsia="zh-CN" w:bidi="ar-SA"/>
              </w:rPr>
            </w:pPr>
            <w:r>
              <w:rPr>
                <w:rFonts w:hint="eastAsia" w:ascii="宋体" w:hAnsi="宋体" w:cs="宋体"/>
                <w:bCs/>
                <w:color w:val="auto"/>
                <w:sz w:val="21"/>
                <w:szCs w:val="24"/>
                <w:highlight w:val="none"/>
                <w:lang w:val="en-US" w:eastAsia="zh-CN" w:bidi="ar-SA"/>
              </w:rPr>
              <w:t xml:space="preserve">      </w:t>
            </w:r>
            <w:r>
              <w:rPr>
                <w:rFonts w:hint="eastAsia" w:ascii="宋体" w:hAnsi="宋体" w:eastAsia="宋体" w:cs="宋体"/>
                <w:bCs/>
                <w:color w:val="auto"/>
                <w:sz w:val="21"/>
                <w:szCs w:val="24"/>
                <w:highlight w:val="none"/>
                <w:lang w:val="en-US" w:eastAsia="zh-CN" w:bidi="ar-SA"/>
              </w:rPr>
              <w:t>供应商名称（盖章）：</w:t>
            </w:r>
          </w:p>
          <w:p>
            <w:pPr>
              <w:widowControl w:val="0"/>
              <w:spacing w:line="360" w:lineRule="auto"/>
              <w:ind w:firstLine="372"/>
              <w:jc w:val="center"/>
              <w:rPr>
                <w:rFonts w:hint="eastAsia" w:ascii="宋体" w:hAnsi="宋体" w:eastAsia="宋体" w:cs="宋体"/>
                <w:b/>
                <w:bCs/>
                <w:color w:val="auto"/>
                <w:sz w:val="21"/>
                <w:szCs w:val="24"/>
                <w:highlight w:val="none"/>
                <w:lang w:val="en-US" w:eastAsia="zh-CN" w:bidi="ar-SA"/>
              </w:rPr>
            </w:pPr>
            <w:r>
              <w:rPr>
                <w:rFonts w:hint="eastAsia" w:ascii="宋体" w:hAnsi="宋体" w:cs="宋体"/>
                <w:bCs/>
                <w:color w:val="auto"/>
                <w:sz w:val="21"/>
                <w:szCs w:val="24"/>
                <w:highlight w:val="none"/>
                <w:lang w:val="en-US" w:eastAsia="zh-CN" w:bidi="ar-SA"/>
              </w:rPr>
              <w:t xml:space="preserve">      </w:t>
            </w:r>
            <w:r>
              <w:rPr>
                <w:rFonts w:hint="eastAsia" w:ascii="宋体" w:hAnsi="宋体" w:eastAsia="宋体" w:cs="宋体"/>
                <w:bCs/>
                <w:color w:val="auto"/>
                <w:sz w:val="21"/>
                <w:szCs w:val="24"/>
                <w:highlight w:val="none"/>
                <w:lang w:val="en-US" w:eastAsia="zh-CN" w:bidi="ar-SA"/>
              </w:rPr>
              <w:t>法定代表人（签字）：</w:t>
            </w:r>
          </w:p>
          <w:p>
            <w:pPr>
              <w:widowControl w:val="0"/>
              <w:spacing w:line="360" w:lineRule="auto"/>
              <w:ind w:firstLine="372"/>
              <w:jc w:val="center"/>
              <w:rPr>
                <w:rFonts w:hint="eastAsia" w:ascii="宋体" w:hAnsi="宋体" w:eastAsia="宋体" w:cs="宋体"/>
                <w:b/>
                <w:bCs/>
                <w:color w:val="auto"/>
                <w:sz w:val="21"/>
                <w:szCs w:val="24"/>
                <w:highlight w:val="none"/>
                <w:lang w:val="en-US" w:eastAsia="zh-CN" w:bidi="ar-SA"/>
              </w:rPr>
            </w:pPr>
            <w:r>
              <w:rPr>
                <w:rFonts w:hint="eastAsia" w:ascii="宋体" w:hAnsi="宋体" w:cs="宋体"/>
                <w:bCs/>
                <w:color w:val="auto"/>
                <w:sz w:val="21"/>
                <w:szCs w:val="24"/>
                <w:highlight w:val="none"/>
                <w:lang w:val="en-US" w:eastAsia="zh-CN" w:bidi="ar-SA"/>
              </w:rPr>
              <w:t xml:space="preserve">        </w:t>
            </w:r>
            <w:r>
              <w:rPr>
                <w:rFonts w:hint="eastAsia" w:ascii="宋体" w:hAnsi="宋体" w:eastAsia="宋体" w:cs="宋体"/>
                <w:bCs/>
                <w:color w:val="auto"/>
                <w:sz w:val="21"/>
                <w:szCs w:val="24"/>
                <w:highlight w:val="none"/>
                <w:lang w:val="en-US" w:eastAsia="zh-CN" w:bidi="ar-SA"/>
              </w:rPr>
              <w:t>年    月     日</w:t>
            </w:r>
          </w:p>
        </w:tc>
      </w:tr>
    </w:tbl>
    <w:p>
      <w:pPr>
        <w:pStyle w:val="25"/>
        <w:adjustRightInd w:val="0"/>
        <w:spacing w:before="160" w:after="160"/>
        <w:ind w:firstLine="0" w:firstLineChars="0"/>
        <w:contextualSpacing/>
        <w:rPr>
          <w:rFonts w:ascii="方正仿宋_GBK" w:eastAsia="方正仿宋_GBK"/>
          <w:b/>
          <w:sz w:val="32"/>
        </w:rPr>
      </w:pPr>
    </w:p>
    <w:p>
      <w:pPr>
        <w:pStyle w:val="25"/>
        <w:adjustRightInd w:val="0"/>
        <w:spacing w:before="160" w:after="160"/>
        <w:ind w:firstLine="0" w:firstLineChars="0"/>
        <w:contextualSpacing/>
        <w:rPr>
          <w:rFonts w:ascii="方正仿宋_GBK" w:eastAsia="方正仿宋_GBK"/>
          <w:b/>
          <w:sz w:val="32"/>
        </w:rPr>
      </w:pPr>
    </w:p>
    <w:p>
      <w:pPr>
        <w:pStyle w:val="25"/>
        <w:adjustRightInd w:val="0"/>
        <w:spacing w:before="160" w:after="160"/>
        <w:ind w:firstLine="0" w:firstLineChars="0"/>
        <w:contextualSpacing/>
        <w:rPr>
          <w:rFonts w:ascii="方正仿宋_GBK" w:eastAsia="方正仿宋_GBK"/>
          <w:b/>
          <w:sz w:val="32"/>
        </w:rPr>
      </w:pPr>
    </w:p>
    <w:bookmarkEnd w:id="1"/>
    <w:p>
      <w:pPr>
        <w:widowControl/>
        <w:jc w:val="left"/>
        <w:rPr>
          <w:rFonts w:hint="eastAsia" w:ascii="方正仿宋_GBK" w:eastAsia="方正仿宋_GBK"/>
          <w:b/>
          <w:sz w:val="32"/>
        </w:rPr>
      </w:pPr>
    </w:p>
    <w:p>
      <w:pPr>
        <w:widowControl/>
        <w:jc w:val="left"/>
        <w:rPr>
          <w:rFonts w:hint="eastAsia" w:ascii="方正仿宋_GBK" w:eastAsia="方正仿宋_GBK"/>
          <w:b/>
          <w:sz w:val="32"/>
        </w:rPr>
      </w:pPr>
    </w:p>
    <w:p>
      <w:pPr>
        <w:widowControl/>
        <w:jc w:val="left"/>
        <w:rPr>
          <w:rFonts w:ascii="方正仿宋_GBK" w:eastAsia="方正仿宋_GBK"/>
          <w:b/>
          <w:sz w:val="32"/>
        </w:rPr>
      </w:pPr>
      <w:r>
        <w:rPr>
          <w:rFonts w:hint="eastAsia" w:ascii="方正仿宋_GBK" w:eastAsia="方正仿宋_GBK"/>
          <w:b/>
          <w:sz w:val="32"/>
        </w:rPr>
        <w:t>附件2：</w:t>
      </w:r>
    </w:p>
    <w:p>
      <w:pPr>
        <w:pStyle w:val="16"/>
        <w:rPr>
          <w:szCs w:val="21"/>
        </w:rPr>
      </w:pPr>
      <w:r>
        <w:rPr>
          <w:rFonts w:hint="eastAsia"/>
        </w:rPr>
        <w:t>医疗设备场地安装条件需求</w:t>
      </w:r>
    </w:p>
    <w:tbl>
      <w:tblPr>
        <w:tblStyle w:val="19"/>
        <w:tblW w:w="99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1"/>
        <w:gridCol w:w="885"/>
        <w:gridCol w:w="975"/>
        <w:gridCol w:w="1497"/>
        <w:gridCol w:w="1209"/>
        <w:gridCol w:w="906"/>
        <w:gridCol w:w="807"/>
        <w:gridCol w:w="1053"/>
        <w:gridCol w:w="1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trPr>
        <w:tc>
          <w:tcPr>
            <w:tcW w:w="1071"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设备名称</w:t>
            </w:r>
          </w:p>
        </w:tc>
        <w:tc>
          <w:tcPr>
            <w:tcW w:w="885"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品牌</w:t>
            </w:r>
          </w:p>
        </w:tc>
        <w:tc>
          <w:tcPr>
            <w:tcW w:w="975"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型号</w:t>
            </w:r>
          </w:p>
        </w:tc>
        <w:tc>
          <w:tcPr>
            <w:tcW w:w="1497"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空间要求（宽*深*高mm）</w:t>
            </w:r>
          </w:p>
        </w:tc>
        <w:tc>
          <w:tcPr>
            <w:tcW w:w="1209"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自身重量（kg）</w:t>
            </w:r>
          </w:p>
        </w:tc>
        <w:tc>
          <w:tcPr>
            <w:tcW w:w="906"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供电要求</w:t>
            </w:r>
          </w:p>
        </w:tc>
        <w:tc>
          <w:tcPr>
            <w:tcW w:w="807"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供水要求</w:t>
            </w:r>
          </w:p>
        </w:tc>
        <w:tc>
          <w:tcPr>
            <w:tcW w:w="1053"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环境要求</w:t>
            </w:r>
          </w:p>
        </w:tc>
        <w:tc>
          <w:tcPr>
            <w:tcW w:w="1509"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运输要求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5" w:hRule="atLeast"/>
        </w:trPr>
        <w:tc>
          <w:tcPr>
            <w:tcW w:w="1071"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kern w:val="0"/>
                <w:szCs w:val="21"/>
              </w:rPr>
            </w:pPr>
            <w:r>
              <w:rPr>
                <w:rFonts w:hint="eastAsia" w:ascii="宋体" w:hAnsi="宋体" w:eastAsia="宋体" w:cs="宋体"/>
                <w:kern w:val="0"/>
                <w:szCs w:val="21"/>
              </w:rPr>
              <w:t>　</w:t>
            </w:r>
          </w:p>
        </w:tc>
        <w:tc>
          <w:tcPr>
            <w:tcW w:w="885"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p>
        </w:tc>
        <w:tc>
          <w:tcPr>
            <w:tcW w:w="1497"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209"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906"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807"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053"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509"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5" w:hRule="atLeast"/>
        </w:trPr>
        <w:tc>
          <w:tcPr>
            <w:tcW w:w="1071"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kern w:val="0"/>
                <w:szCs w:val="21"/>
              </w:rPr>
            </w:pPr>
            <w:r>
              <w:rPr>
                <w:rFonts w:hint="eastAsia" w:ascii="宋体" w:hAnsi="宋体" w:eastAsia="宋体" w:cs="宋体"/>
                <w:kern w:val="0"/>
                <w:szCs w:val="21"/>
              </w:rPr>
              <w:t>　</w:t>
            </w:r>
          </w:p>
        </w:tc>
        <w:tc>
          <w:tcPr>
            <w:tcW w:w="885"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p>
        </w:tc>
        <w:tc>
          <w:tcPr>
            <w:tcW w:w="1497"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209"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906"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807"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053"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509"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5" w:hRule="atLeast"/>
        </w:trPr>
        <w:tc>
          <w:tcPr>
            <w:tcW w:w="1071"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kern w:val="0"/>
                <w:szCs w:val="21"/>
              </w:rPr>
            </w:pPr>
            <w:r>
              <w:rPr>
                <w:rFonts w:hint="eastAsia" w:ascii="宋体" w:hAnsi="宋体" w:eastAsia="宋体" w:cs="宋体"/>
                <w:kern w:val="0"/>
                <w:szCs w:val="21"/>
              </w:rPr>
              <w:t>　</w:t>
            </w:r>
          </w:p>
        </w:tc>
        <w:tc>
          <w:tcPr>
            <w:tcW w:w="885"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p>
        </w:tc>
        <w:tc>
          <w:tcPr>
            <w:tcW w:w="1497"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209"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906"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807"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053"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509"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5" w:hRule="atLeast"/>
        </w:trPr>
        <w:tc>
          <w:tcPr>
            <w:tcW w:w="1071"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kern w:val="0"/>
                <w:szCs w:val="21"/>
              </w:rPr>
            </w:pPr>
            <w:r>
              <w:rPr>
                <w:rFonts w:hint="eastAsia" w:ascii="宋体" w:hAnsi="宋体" w:eastAsia="宋体" w:cs="宋体"/>
                <w:kern w:val="0"/>
                <w:szCs w:val="21"/>
              </w:rPr>
              <w:t>　</w:t>
            </w:r>
          </w:p>
        </w:tc>
        <w:tc>
          <w:tcPr>
            <w:tcW w:w="885"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p>
        </w:tc>
        <w:tc>
          <w:tcPr>
            <w:tcW w:w="1497"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209"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906"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807"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053"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509" w:type="dxa"/>
            <w:tcBorders>
              <w:top w:val="single" w:color="auto" w:sz="4" w:space="0"/>
              <w:left w:val="single" w:color="auto" w:sz="4" w:space="0"/>
              <w:bottom w:val="single" w:color="auto" w:sz="4" w:space="0"/>
              <w:right w:val="single" w:color="auto" w:sz="4" w:space="0"/>
            </w:tcBorders>
            <w:vAlign w:val="center"/>
          </w:tcPr>
          <w:p>
            <w:pPr>
              <w:widowControl/>
              <w:adjustRightInd w:val="0"/>
              <w:spacing w:before="160" w:after="16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r>
    </w:tbl>
    <w:p>
      <w:pPr>
        <w:widowControl/>
        <w:jc w:val="left"/>
        <w:rPr>
          <w:rFonts w:hint="eastAsia" w:ascii="宋体" w:hAnsi="宋体" w:eastAsia="宋体"/>
          <w:b/>
          <w:szCs w:val="21"/>
        </w:rPr>
        <w:sectPr>
          <w:footerReference r:id="rId3" w:type="default"/>
          <w:pgSz w:w="11906" w:h="16838"/>
          <w:pgMar w:top="935" w:right="991" w:bottom="850" w:left="993" w:header="851" w:footer="992" w:gutter="0"/>
          <w:cols w:space="0" w:num="1"/>
          <w:rtlGutter w:val="0"/>
          <w:docGrid w:type="lines" w:linePitch="312" w:charSpace="0"/>
        </w:sectPr>
      </w:pPr>
    </w:p>
    <w:p>
      <w:pPr>
        <w:pStyle w:val="25"/>
        <w:adjustRightInd w:val="0"/>
        <w:spacing w:before="160" w:after="160"/>
        <w:ind w:firstLine="0" w:firstLineChars="0"/>
        <w:contextualSpacing/>
        <w:rPr>
          <w:rFonts w:hint="eastAsia" w:ascii="方正仿宋_GBK" w:eastAsia="方正仿宋_GBK"/>
          <w:b/>
          <w:sz w:val="32"/>
        </w:rPr>
      </w:pPr>
      <w:bookmarkStart w:id="2" w:name="_Hlk204097970"/>
      <w:r>
        <w:rPr>
          <w:rFonts w:hint="eastAsia" w:ascii="方正仿宋_GBK" w:eastAsia="方正仿宋_GBK"/>
          <w:b/>
          <w:sz w:val="32"/>
        </w:rPr>
        <w:t>附件3：</w:t>
      </w:r>
    </w:p>
    <w:p>
      <w:pPr>
        <w:pStyle w:val="25"/>
        <w:adjustRightInd w:val="0"/>
        <w:spacing w:before="160" w:after="160"/>
        <w:ind w:firstLine="0" w:firstLineChars="0"/>
        <w:contextualSpacing/>
        <w:jc w:val="center"/>
        <w:rPr>
          <w:rFonts w:ascii="方正仿宋_GBK" w:eastAsia="方正仿宋_GBK"/>
          <w:b/>
          <w:sz w:val="32"/>
        </w:rPr>
      </w:pPr>
      <w:r>
        <w:rPr>
          <w:rFonts w:hint="eastAsia" w:ascii="方正仿宋_GBK" w:eastAsia="方正仿宋_GBK"/>
          <w:b/>
          <w:sz w:val="32"/>
        </w:rPr>
        <w:t>售后服务条款</w:t>
      </w:r>
    </w:p>
    <w:p>
      <w:pPr>
        <w:adjustRightInd w:val="0"/>
        <w:spacing w:before="160" w:after="160"/>
        <w:ind w:left="142" w:firstLine="211" w:firstLineChars="100"/>
        <w:contextualSpacing/>
        <w:jc w:val="left"/>
        <w:rPr>
          <w:rFonts w:hint="eastAsia" w:ascii="宋体" w:hAnsi="宋体" w:eastAsia="宋体"/>
          <w:b/>
          <w:szCs w:val="21"/>
        </w:rPr>
      </w:pPr>
    </w:p>
    <w:p>
      <w:pPr>
        <w:pStyle w:val="25"/>
        <w:numPr>
          <w:ilvl w:val="1"/>
          <w:numId w:val="3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设备供应商免费提前为医院提供设备安装图纸，并充分协助医院做好机房的准备工作（如必要的话）。</w:t>
      </w:r>
    </w:p>
    <w:p>
      <w:pPr>
        <w:pStyle w:val="25"/>
        <w:numPr>
          <w:ilvl w:val="1"/>
          <w:numId w:val="3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设备供应商负责设备的免费安装和调试，必须事先与医院联系，并与医院共同参与，否则引起的一切责任由设备供应商承担。</w:t>
      </w:r>
    </w:p>
    <w:p>
      <w:pPr>
        <w:pStyle w:val="25"/>
        <w:numPr>
          <w:ilvl w:val="1"/>
          <w:numId w:val="3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所有医疗设备必须提供符合国家标准的电源线，插头制式必须为中国标准制式，保证安全接地，不接受欧标、美标等制式电源线，设备生产时间不能超过壹年。</w:t>
      </w:r>
    </w:p>
    <w:p>
      <w:pPr>
        <w:pStyle w:val="25"/>
        <w:numPr>
          <w:ilvl w:val="1"/>
          <w:numId w:val="3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设备供应商逾期交付货物的，每逾期一天，设备供应商向医院偿付货款总额5‰的滞纳金，如设备供应商逾期交货达10天，医院有权解除合同或双方协商赔偿方式。</w:t>
      </w:r>
    </w:p>
    <w:p>
      <w:pPr>
        <w:pStyle w:val="25"/>
        <w:numPr>
          <w:ilvl w:val="1"/>
          <w:numId w:val="3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装机所产生的垃圾必须摆放整齐，不得有影响工作人员、病人及家属安全通过的行为。设备供应商在装机后24小时内必须完成对包装拆除物的清理。因包装拆除物原因引起的医疗事故和纠纷，由设备供应商承担全部法律和经济责任。</w:t>
      </w:r>
    </w:p>
    <w:p>
      <w:pPr>
        <w:pStyle w:val="25"/>
        <w:numPr>
          <w:ilvl w:val="1"/>
          <w:numId w:val="3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设备安装、调试结束后，医院对设备试用后进行验收（时间由甲、乙双方商定），设备供应商免费派工程师到达现场协助验收工作。保修期自医院验收合格之日算起，保修期外故障待修复后只收配件费，免收上门费、人工费。</w:t>
      </w:r>
    </w:p>
    <w:p>
      <w:pPr>
        <w:pStyle w:val="25"/>
        <w:numPr>
          <w:ilvl w:val="1"/>
          <w:numId w:val="3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上述设备免费保修</w:t>
      </w:r>
      <w:r>
        <w:rPr>
          <w:rFonts w:hint="eastAsia" w:ascii="宋体" w:hAnsi="宋体" w:eastAsia="宋体"/>
          <w:szCs w:val="21"/>
          <w:u w:val="single"/>
        </w:rPr>
        <w:t>此处请填写完整</w:t>
      </w:r>
      <w:r>
        <w:rPr>
          <w:rFonts w:hint="eastAsia" w:ascii="宋体" w:hAnsi="宋体" w:eastAsia="宋体"/>
          <w:szCs w:val="21"/>
        </w:rPr>
        <w:t>年，保修范围包括合同中所有配置。并确保设备保修期内开机率≥95%，如设备故障停机率超过5%（一年按365天计算，每年18天），每超过一天，保修期延长两周。保修期外设备供应商对本设备终身负责维修。</w:t>
      </w:r>
    </w:p>
    <w:p>
      <w:pPr>
        <w:pStyle w:val="25"/>
        <w:numPr>
          <w:ilvl w:val="1"/>
          <w:numId w:val="3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如设备发生故障，设备供应商在接到医院报修电话后1小时之内响应，3小时内到达医院现场（若无维修站点，24小时内到达现场），48小时内修复或免费提供备用机，否则医院可自行采取必要的措施，由此产生的风险和费用由设备供应商承担。如有特殊情况，设备供应商应立即电话通知医院不能响应的原因，在获得医院同意后，才可推迟响应时间。</w:t>
      </w:r>
    </w:p>
    <w:p>
      <w:pPr>
        <w:pStyle w:val="25"/>
        <w:numPr>
          <w:ilvl w:val="1"/>
          <w:numId w:val="3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保修期内每年</w:t>
      </w:r>
      <w:r>
        <w:rPr>
          <w:rFonts w:hint="eastAsia" w:ascii="宋体" w:hAnsi="宋体" w:eastAsia="宋体"/>
          <w:szCs w:val="21"/>
          <w:u w:val="single"/>
        </w:rPr>
        <w:t>肆</w:t>
      </w:r>
      <w:r>
        <w:rPr>
          <w:rFonts w:hint="eastAsia" w:ascii="宋体" w:hAnsi="宋体" w:eastAsia="宋体"/>
          <w:szCs w:val="21"/>
        </w:rPr>
        <w:t>次定期维护。</w:t>
      </w:r>
    </w:p>
    <w:p>
      <w:pPr>
        <w:pStyle w:val="25"/>
        <w:numPr>
          <w:ilvl w:val="1"/>
          <w:numId w:val="3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无论在保修期内还是保修期外，设备供应商必须上门维修，设备供应商工程师至医院维修本设备，必须事先与医院取得联系，并做相应登记；在维修过程中与医院工程师共同完成维修工作。否则引起的一切责任由设备供应商负责。</w:t>
      </w:r>
    </w:p>
    <w:p>
      <w:pPr>
        <w:pStyle w:val="25"/>
        <w:numPr>
          <w:ilvl w:val="1"/>
          <w:numId w:val="3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如设备软件升级，设备供应商负责免费软件升级，保证软件为最新、最高版本。</w:t>
      </w:r>
    </w:p>
    <w:p>
      <w:pPr>
        <w:pStyle w:val="25"/>
        <w:numPr>
          <w:ilvl w:val="1"/>
          <w:numId w:val="3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如有设备具有远程维修诊断功能，设备供应商负责免费为医院安装。</w:t>
      </w:r>
    </w:p>
    <w:p>
      <w:pPr>
        <w:pStyle w:val="25"/>
        <w:numPr>
          <w:ilvl w:val="1"/>
          <w:numId w:val="3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设备供应商免费提供全套资料，含产品合格证（国产设备）、出厂计量合格证（强检设备）、操作手册、维修手册（含详细电路图）、海关报关单（进口设备）、商检合格证明（进口设备），如技术资料不全，医院有权不支付货款。</w:t>
      </w:r>
    </w:p>
    <w:p>
      <w:pPr>
        <w:pStyle w:val="25"/>
        <w:numPr>
          <w:ilvl w:val="1"/>
          <w:numId w:val="31"/>
        </w:numPr>
        <w:adjustRightInd w:val="0"/>
        <w:spacing w:before="160" w:after="160"/>
        <w:ind w:left="426" w:hanging="426" w:firstLineChars="0"/>
        <w:contextualSpacing/>
        <w:rPr>
          <w:rFonts w:hint="eastAsia" w:ascii="宋体" w:hAnsi="宋体" w:eastAsia="宋体"/>
          <w:szCs w:val="21"/>
        </w:rPr>
      </w:pPr>
      <w:r>
        <w:rPr>
          <w:rFonts w:hint="eastAsia" w:ascii="宋体" w:hAnsi="宋体" w:eastAsia="宋体"/>
          <w:szCs w:val="21"/>
        </w:rPr>
        <w:t>技术培训：在安装过程中或安装结束后，设备供应商工程师或有关人员有义务对医院工程师和操作人员进行现场维修、保养、操作培训并提供快捷操作指南（过塑封好，挂在设备上），解答医院人员提出的问题。必要时提供正规培训班培训，确保操作人员掌握完成日常工作所需的基本操作方法为止，工程师掌握基本的维护保养操作技术为止。详见设备供应商公司承诺书。</w:t>
      </w:r>
    </w:p>
    <w:p>
      <w:pPr>
        <w:pStyle w:val="25"/>
        <w:numPr>
          <w:ilvl w:val="1"/>
          <w:numId w:val="31"/>
        </w:numPr>
        <w:adjustRightInd w:val="0"/>
        <w:spacing w:before="160" w:after="160"/>
        <w:ind w:left="426" w:hanging="426" w:firstLineChars="0"/>
        <w:contextualSpacing/>
        <w:rPr>
          <w:rFonts w:hint="eastAsia" w:ascii="宋体" w:hAnsi="宋体" w:eastAsia="宋体"/>
          <w:b/>
          <w:szCs w:val="21"/>
        </w:rPr>
      </w:pPr>
      <w:r>
        <w:rPr>
          <w:rFonts w:hint="eastAsia" w:ascii="宋体" w:hAnsi="宋体" w:eastAsia="宋体"/>
          <w:szCs w:val="21"/>
        </w:rPr>
        <w:t>如设备供应商提供的设备设有维修软件密码，设备供应商保证无条件地为医院永久免费打开。</w:t>
      </w:r>
      <w:bookmarkEnd w:id="2"/>
      <w:r>
        <w:rPr>
          <w:rFonts w:hint="eastAsia" w:ascii="宋体" w:hAnsi="宋体" w:eastAsia="宋体"/>
          <w:b/>
          <w:szCs w:val="21"/>
        </w:rPr>
        <w:br w:type="page"/>
      </w:r>
    </w:p>
    <w:p>
      <w:pPr>
        <w:pStyle w:val="25"/>
        <w:keepNext w:val="0"/>
        <w:keepLines w:val="0"/>
        <w:pageBreakBefore w:val="0"/>
        <w:widowControl w:val="0"/>
        <w:kinsoku/>
        <w:wordWrap/>
        <w:overflowPunct/>
        <w:topLinePunct w:val="0"/>
        <w:autoSpaceDE/>
        <w:autoSpaceDN/>
        <w:bidi w:val="0"/>
        <w:adjustRightInd w:val="0"/>
        <w:snapToGrid/>
        <w:spacing w:before="160" w:after="160" w:line="560" w:lineRule="exact"/>
        <w:ind w:firstLine="0" w:firstLineChars="0"/>
        <w:contextualSpacing/>
        <w:textAlignment w:val="auto"/>
        <w:outlineLvl w:val="9"/>
        <w:rPr>
          <w:rFonts w:hint="eastAsia" w:ascii="宋体" w:hAnsi="宋体" w:eastAsia="宋体"/>
          <w:b/>
          <w:sz w:val="32"/>
          <w:szCs w:val="32"/>
        </w:rPr>
      </w:pPr>
      <w:r>
        <w:rPr>
          <w:rFonts w:hint="eastAsia" w:ascii="宋体" w:hAnsi="宋体" w:eastAsia="宋体"/>
          <w:b/>
          <w:sz w:val="32"/>
          <w:szCs w:val="32"/>
        </w:rPr>
        <w:t>附件4：</w:t>
      </w:r>
    </w:p>
    <w:p>
      <w:pPr>
        <w:pStyle w:val="25"/>
        <w:keepNext w:val="0"/>
        <w:keepLines w:val="0"/>
        <w:pageBreakBefore w:val="0"/>
        <w:widowControl w:val="0"/>
        <w:kinsoku/>
        <w:wordWrap/>
        <w:overflowPunct/>
        <w:topLinePunct w:val="0"/>
        <w:autoSpaceDE/>
        <w:autoSpaceDN/>
        <w:bidi w:val="0"/>
        <w:adjustRightInd w:val="0"/>
        <w:snapToGrid/>
        <w:spacing w:before="160" w:after="160" w:line="560" w:lineRule="exact"/>
        <w:ind w:firstLine="0" w:firstLineChars="0"/>
        <w:contextualSpacing/>
        <w:jc w:val="center"/>
        <w:textAlignment w:val="auto"/>
        <w:outlineLvl w:val="9"/>
        <w:rPr>
          <w:rFonts w:hint="eastAsia" w:ascii="宋体" w:hAnsi="宋体" w:eastAsia="宋体"/>
          <w:b/>
          <w:sz w:val="36"/>
          <w:szCs w:val="36"/>
        </w:rPr>
      </w:pPr>
      <w:r>
        <w:rPr>
          <w:rFonts w:hint="eastAsia" w:ascii="宋体" w:hAnsi="宋体" w:eastAsia="宋体"/>
          <w:b/>
          <w:sz w:val="36"/>
          <w:szCs w:val="36"/>
          <w:lang w:eastAsia="zh-CN"/>
        </w:rPr>
        <w:t>论证比选</w:t>
      </w:r>
      <w:r>
        <w:rPr>
          <w:rFonts w:hint="eastAsia" w:ascii="宋体" w:hAnsi="宋体" w:eastAsia="宋体"/>
          <w:b/>
          <w:sz w:val="36"/>
          <w:szCs w:val="36"/>
        </w:rPr>
        <w:t>、调研材料真实性及购销廉洁声明</w:t>
      </w:r>
    </w:p>
    <w:p>
      <w:pPr>
        <w:pStyle w:val="25"/>
        <w:keepNext w:val="0"/>
        <w:keepLines w:val="0"/>
        <w:pageBreakBefore w:val="0"/>
        <w:widowControl w:val="0"/>
        <w:kinsoku/>
        <w:wordWrap/>
        <w:overflowPunct/>
        <w:topLinePunct w:val="0"/>
        <w:autoSpaceDE/>
        <w:autoSpaceDN/>
        <w:bidi w:val="0"/>
        <w:adjustRightInd w:val="0"/>
        <w:snapToGrid/>
        <w:spacing w:before="160" w:after="160" w:line="560" w:lineRule="exact"/>
        <w:ind w:firstLine="0" w:firstLineChars="0"/>
        <w:contextualSpacing/>
        <w:jc w:val="center"/>
        <w:textAlignment w:val="auto"/>
        <w:outlineLvl w:val="9"/>
        <w:rPr>
          <w:rFonts w:hint="eastAsia" w:ascii="宋体" w:hAnsi="宋体" w:eastAsia="宋体"/>
          <w:b/>
          <w:sz w:val="36"/>
          <w:szCs w:val="36"/>
        </w:rPr>
      </w:pPr>
      <w:r>
        <w:rPr>
          <w:rFonts w:hint="eastAsia" w:ascii="宋体" w:hAnsi="宋体" w:eastAsia="宋体"/>
          <w:b/>
          <w:sz w:val="36"/>
          <w:szCs w:val="36"/>
        </w:rPr>
        <w:t>承诺书</w:t>
      </w:r>
    </w:p>
    <w:p>
      <w:pPr>
        <w:pStyle w:val="25"/>
        <w:adjustRightInd w:val="0"/>
        <w:spacing w:before="160" w:after="160"/>
        <w:ind w:firstLine="0" w:firstLineChars="0"/>
        <w:contextualSpacing/>
        <w:rPr>
          <w:rFonts w:hint="eastAsia" w:ascii="宋体" w:hAnsi="宋体" w:eastAsia="宋体"/>
          <w:szCs w:val="21"/>
        </w:rPr>
      </w:pPr>
      <w:r>
        <w:rPr>
          <w:rFonts w:hint="eastAsia" w:ascii="宋体" w:hAnsi="宋体" w:eastAsia="宋体"/>
          <w:szCs w:val="21"/>
          <w:lang w:eastAsia="zh-CN"/>
        </w:rPr>
        <w:t>江宁区卫健委</w:t>
      </w:r>
      <w:r>
        <w:rPr>
          <w:rFonts w:hint="eastAsia" w:ascii="宋体" w:hAnsi="宋体" w:eastAsia="宋体"/>
          <w:szCs w:val="21"/>
        </w:rPr>
        <w:t>：</w:t>
      </w:r>
    </w:p>
    <w:p>
      <w:pPr>
        <w:pStyle w:val="25"/>
        <w:adjustRightInd w:val="0"/>
        <w:spacing w:before="160" w:after="160"/>
        <w:ind w:firstLine="440" w:firstLineChars="200"/>
        <w:contextualSpacing/>
        <w:rPr>
          <w:rFonts w:hint="eastAsia" w:ascii="宋体" w:hAnsi="宋体" w:eastAsia="宋体"/>
          <w:szCs w:val="21"/>
        </w:rPr>
      </w:pPr>
      <w:r>
        <w:rPr>
          <w:rFonts w:hint="eastAsia" w:ascii="宋体" w:hAnsi="宋体" w:eastAsia="宋体"/>
          <w:szCs w:val="21"/>
        </w:rPr>
        <w:t>针对贵</w:t>
      </w:r>
      <w:r>
        <w:rPr>
          <w:rFonts w:hint="eastAsia" w:ascii="宋体" w:hAnsi="宋体" w:eastAsia="宋体"/>
          <w:szCs w:val="21"/>
          <w:lang w:eastAsia="zh-CN"/>
        </w:rPr>
        <w:t>单位</w:t>
      </w:r>
      <w:r>
        <w:rPr>
          <w:rFonts w:hint="eastAsia" w:ascii="宋体" w:hAnsi="宋体" w:eastAsia="宋体"/>
          <w:szCs w:val="21"/>
        </w:rPr>
        <w:t>此次比选、调研，我公司郑重承诺：所提供资料（以骑缝章为准）真实有效，无任何虚假成分。如有虚假，由此产生的一切后果由本公司承担。</w:t>
      </w:r>
    </w:p>
    <w:p>
      <w:pPr>
        <w:pStyle w:val="25"/>
        <w:adjustRightInd w:val="0"/>
        <w:spacing w:before="160" w:after="160"/>
        <w:ind w:firstLine="440" w:firstLineChars="200"/>
        <w:contextualSpacing/>
        <w:rPr>
          <w:rFonts w:hint="eastAsia" w:ascii="宋体" w:hAnsi="宋体" w:eastAsia="宋体"/>
          <w:szCs w:val="21"/>
        </w:rPr>
      </w:pPr>
      <w:r>
        <w:rPr>
          <w:rFonts w:hint="eastAsia" w:ascii="宋体" w:hAnsi="宋体" w:eastAsia="宋体"/>
          <w:szCs w:val="21"/>
        </w:rPr>
        <w:t>为进一步加强医疗卫生行风建设，规范医疗卫生机构医药销售行为，有效防范商业贿赂行为，营造公平交易、诚实守信的购销环境，我公司郑重承诺并遵守：</w:t>
      </w:r>
    </w:p>
    <w:p>
      <w:pPr>
        <w:pStyle w:val="25"/>
        <w:adjustRightInd w:val="0"/>
        <w:spacing w:before="160" w:after="160"/>
        <w:contextualSpacing/>
        <w:rPr>
          <w:rFonts w:hint="eastAsia" w:ascii="宋体" w:hAnsi="宋体" w:eastAsia="宋体"/>
          <w:szCs w:val="21"/>
        </w:rPr>
      </w:pPr>
      <w:r>
        <w:rPr>
          <w:rFonts w:hint="eastAsia" w:ascii="宋体" w:hAnsi="宋体" w:eastAsia="宋体"/>
          <w:szCs w:val="21"/>
        </w:rPr>
        <w:t>一、我方按照《民法典》及本承诺购销医疗设备。</w:t>
      </w:r>
    </w:p>
    <w:p>
      <w:pPr>
        <w:pStyle w:val="25"/>
        <w:adjustRightInd w:val="0"/>
        <w:spacing w:before="160" w:after="160"/>
        <w:contextualSpacing/>
        <w:rPr>
          <w:rFonts w:hint="eastAsia" w:ascii="宋体" w:hAnsi="宋体" w:eastAsia="宋体"/>
          <w:szCs w:val="21"/>
        </w:rPr>
      </w:pPr>
      <w:r>
        <w:rPr>
          <w:rFonts w:hint="eastAsia" w:ascii="宋体" w:hAnsi="宋体" w:eastAsia="宋体"/>
          <w:szCs w:val="21"/>
        </w:rPr>
        <w:t>二、我方不以回扣、宴请等方式影响医院工作人员采购或使用产品的选择权，不在学术活动中提供旅游、超标准支付食宿等费用。</w:t>
      </w:r>
    </w:p>
    <w:p>
      <w:pPr>
        <w:pStyle w:val="25"/>
        <w:adjustRightInd w:val="0"/>
        <w:spacing w:before="160" w:after="160"/>
        <w:contextualSpacing/>
        <w:rPr>
          <w:rFonts w:hint="eastAsia" w:ascii="宋体" w:hAnsi="宋体" w:eastAsia="宋体"/>
          <w:szCs w:val="21"/>
        </w:rPr>
      </w:pPr>
      <w:r>
        <w:rPr>
          <w:rFonts w:hint="eastAsia" w:ascii="宋体" w:hAnsi="宋体" w:eastAsia="宋体"/>
          <w:szCs w:val="21"/>
        </w:rPr>
        <w:t>三、我方指定销售代表承诺在工作时间到医院指定地点联系商谈，不到住院部、门诊部、医技科室等推销产品，不借故到医院相关领导、部门负责人及相关工作人员家中访谈并提供任何好处费等。</w:t>
      </w:r>
    </w:p>
    <w:p>
      <w:pPr>
        <w:pStyle w:val="25"/>
        <w:adjustRightInd w:val="0"/>
        <w:spacing w:before="160" w:after="160"/>
        <w:contextualSpacing/>
        <w:rPr>
          <w:rFonts w:hint="eastAsia" w:ascii="宋体" w:hAnsi="宋体" w:eastAsia="宋体"/>
          <w:szCs w:val="21"/>
        </w:rPr>
      </w:pPr>
      <w:r>
        <w:rPr>
          <w:rFonts w:hint="eastAsia" w:ascii="宋体" w:hAnsi="宋体" w:eastAsia="宋体"/>
          <w:szCs w:val="21"/>
        </w:rPr>
        <w:t>四、我方如违反本承诺，一经发现，</w:t>
      </w:r>
      <w:r>
        <w:rPr>
          <w:rFonts w:hint="eastAsia" w:ascii="宋体" w:hAnsi="宋体"/>
          <w:szCs w:val="21"/>
          <w:lang w:eastAsia="zh-CN"/>
        </w:rPr>
        <w:t>采购人</w:t>
      </w:r>
      <w:r>
        <w:rPr>
          <w:rFonts w:hint="eastAsia" w:ascii="宋体" w:hAnsi="宋体" w:eastAsia="宋体"/>
          <w:szCs w:val="21"/>
        </w:rPr>
        <w:t>有权终止购销合同。如我方被列入商业贿赂不良记录，则严格按照《国家卫生计生委关于建立医药购销领域商业贿赂不良记录的规定》（国卫法制发[2013]50号）相关规定处理。</w:t>
      </w:r>
    </w:p>
    <w:p>
      <w:pPr>
        <w:pStyle w:val="25"/>
        <w:adjustRightInd w:val="0"/>
        <w:spacing w:before="160" w:after="160"/>
        <w:contextualSpacing/>
        <w:rPr>
          <w:rFonts w:hint="eastAsia" w:ascii="宋体" w:hAnsi="宋体" w:eastAsia="宋体"/>
          <w:szCs w:val="21"/>
        </w:rPr>
      </w:pPr>
      <w:r>
        <w:rPr>
          <w:rFonts w:hint="eastAsia" w:ascii="宋体" w:hAnsi="宋体" w:eastAsia="宋体"/>
          <w:szCs w:val="21"/>
        </w:rPr>
        <w:t>五、本承诺作为产品购销合同的重要组成部分，与购销合同一并执行，具有同等法律效力。</w:t>
      </w:r>
    </w:p>
    <w:p>
      <w:pPr>
        <w:pStyle w:val="25"/>
        <w:adjustRightInd w:val="0"/>
        <w:spacing w:before="160" w:after="160"/>
        <w:ind w:firstLine="0" w:firstLineChars="0"/>
        <w:contextualSpacing/>
        <w:rPr>
          <w:rFonts w:hint="eastAsia" w:ascii="宋体" w:hAnsi="宋体" w:eastAsia="宋体"/>
          <w:szCs w:val="21"/>
        </w:rPr>
      </w:pPr>
    </w:p>
    <w:p>
      <w:pPr>
        <w:pStyle w:val="25"/>
        <w:adjustRightInd w:val="0"/>
        <w:spacing w:before="160" w:after="160"/>
        <w:ind w:firstLine="0" w:firstLineChars="0"/>
        <w:contextualSpacing/>
        <w:rPr>
          <w:rFonts w:hint="eastAsia" w:ascii="宋体" w:hAnsi="宋体" w:eastAsia="宋体"/>
          <w:szCs w:val="21"/>
        </w:rPr>
      </w:pPr>
    </w:p>
    <w:p>
      <w:pPr>
        <w:pStyle w:val="25"/>
        <w:adjustRightInd w:val="0"/>
        <w:spacing w:before="160" w:after="160"/>
        <w:ind w:firstLine="0" w:firstLineChars="0"/>
        <w:contextualSpacing/>
        <w:rPr>
          <w:rFonts w:hint="eastAsia" w:ascii="宋体" w:hAnsi="宋体" w:eastAsia="宋体"/>
          <w:szCs w:val="21"/>
        </w:rPr>
      </w:pPr>
    </w:p>
    <w:p>
      <w:pPr>
        <w:pStyle w:val="25"/>
        <w:adjustRightInd w:val="0"/>
        <w:spacing w:before="160" w:after="160"/>
        <w:ind w:firstLine="0" w:firstLineChars="0"/>
        <w:contextualSpacing/>
        <w:jc w:val="center"/>
        <w:rPr>
          <w:rFonts w:hint="eastAsia" w:ascii="宋体" w:hAnsi="宋体" w:eastAsia="宋体"/>
          <w:szCs w:val="21"/>
        </w:rPr>
      </w:pPr>
      <w:r>
        <w:rPr>
          <w:rFonts w:hint="eastAsia" w:ascii="宋体" w:hAnsi="宋体" w:eastAsia="宋体"/>
          <w:szCs w:val="21"/>
          <w:lang w:val="en-US" w:eastAsia="zh-CN"/>
        </w:rPr>
        <w:t xml:space="preserve">                                         </w:t>
      </w:r>
      <w:r>
        <w:rPr>
          <w:rFonts w:hint="eastAsia" w:ascii="宋体" w:hAnsi="宋体" w:eastAsia="宋体"/>
          <w:szCs w:val="21"/>
        </w:rPr>
        <w:t>公司（签章）</w:t>
      </w:r>
    </w:p>
    <w:p>
      <w:pPr>
        <w:pStyle w:val="25"/>
        <w:adjustRightInd w:val="0"/>
        <w:spacing w:before="160" w:after="160"/>
        <w:ind w:firstLine="0" w:firstLineChars="0"/>
        <w:contextualSpacing/>
        <w:jc w:val="center"/>
        <w:rPr>
          <w:rFonts w:hint="eastAsia" w:ascii="宋体" w:hAnsi="宋体" w:eastAsia="宋体"/>
          <w:szCs w:val="21"/>
        </w:rPr>
      </w:pPr>
      <w:r>
        <w:rPr>
          <w:rFonts w:hint="eastAsia" w:ascii="宋体" w:hAnsi="宋体" w:eastAsia="宋体"/>
          <w:szCs w:val="21"/>
          <w:lang w:val="en-US" w:eastAsia="zh-CN"/>
        </w:rPr>
        <w:t xml:space="preserve">                                        </w:t>
      </w:r>
      <w:r>
        <w:rPr>
          <w:rFonts w:hint="eastAsia" w:ascii="宋体" w:hAnsi="宋体" w:eastAsia="宋体"/>
          <w:szCs w:val="21"/>
        </w:rPr>
        <w:t>年  月  日</w:t>
      </w:r>
    </w:p>
    <w:p>
      <w:pPr>
        <w:widowControl/>
        <w:adjustRightInd w:val="0"/>
        <w:spacing w:before="160" w:after="160"/>
        <w:contextualSpacing/>
        <w:jc w:val="left"/>
        <w:rPr>
          <w:rFonts w:hint="eastAsia" w:ascii="宋体" w:hAnsi="宋体" w:eastAsia="宋体"/>
          <w:szCs w:val="21"/>
        </w:rPr>
      </w:pPr>
    </w:p>
    <w:p/>
    <w:p>
      <w:pPr>
        <w:widowControl/>
        <w:jc w:val="left"/>
      </w:pPr>
    </w:p>
    <w:p>
      <w:pPr>
        <w:pStyle w:val="2"/>
        <w:rPr>
          <w:rFonts w:hint="eastAsia"/>
          <w:lang w:val="en-US" w:eastAsia="zh-CN"/>
        </w:rPr>
      </w:pPr>
    </w:p>
    <w:sectPr>
      <w:footerReference r:id="rId4" w:type="default"/>
      <w:pgSz w:w="11906" w:h="16838"/>
      <w:pgMar w:top="1440" w:right="1519" w:bottom="1440" w:left="1576"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swiss"/>
    <w:pitch w:val="default"/>
    <w:sig w:usb0="80000287" w:usb1="2A0F3C52" w:usb2="00000016" w:usb3="00000000" w:csb0="0004001F" w:csb1="00000000"/>
  </w:font>
  <w:font w:name="Calibri Light">
    <w:altName w:val="Calibri"/>
    <w:panose1 w:val="020F0302020204030204"/>
    <w:charset w:val="00"/>
    <w:family w:val="auto"/>
    <w:pitch w:val="default"/>
    <w:sig w:usb0="00000000" w:usb1="00000000"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Arial Unicode MS">
    <w:panose1 w:val="020B0604020202020204"/>
    <w:charset w:val="86"/>
    <w:family w:val="swiss"/>
    <w:pitch w:val="default"/>
    <w:sig w:usb0="FFFFFFFF" w:usb1="E9FFFFFF" w:usb2="0000003F" w:usb3="00000000" w:csb0="603F01FF" w:csb1="FFFF0000"/>
  </w:font>
  <w:font w:name="仿宋">
    <w:altName w:val="Arial Unicode MS"/>
    <w:panose1 w:val="02010609060101010101"/>
    <w:charset w:val="86"/>
    <w:family w:val="modern"/>
    <w:pitch w:val="default"/>
    <w:sig w:usb0="00000000" w:usb1="00000000"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D2B53C"/>
    <w:multiLevelType w:val="singleLevel"/>
    <w:tmpl w:val="82D2B53C"/>
    <w:lvl w:ilvl="0" w:tentative="0">
      <w:start w:val="1"/>
      <w:numFmt w:val="decimal"/>
      <w:lvlText w:val="%1."/>
      <w:lvlJc w:val="left"/>
      <w:pPr>
        <w:ind w:left="425" w:hanging="425"/>
      </w:pPr>
      <w:rPr>
        <w:rFonts w:hint="default"/>
      </w:rPr>
    </w:lvl>
  </w:abstractNum>
  <w:abstractNum w:abstractNumId="1">
    <w:nsid w:val="88A1CADC"/>
    <w:multiLevelType w:val="singleLevel"/>
    <w:tmpl w:val="88A1CADC"/>
    <w:lvl w:ilvl="0" w:tentative="0">
      <w:start w:val="1"/>
      <w:numFmt w:val="decimal"/>
      <w:lvlText w:val="%1."/>
      <w:lvlJc w:val="left"/>
      <w:pPr>
        <w:ind w:left="425" w:hanging="425"/>
      </w:pPr>
      <w:rPr>
        <w:rFonts w:hint="default"/>
      </w:rPr>
    </w:lvl>
  </w:abstractNum>
  <w:abstractNum w:abstractNumId="2">
    <w:nsid w:val="8D672782"/>
    <w:multiLevelType w:val="singleLevel"/>
    <w:tmpl w:val="8D672782"/>
    <w:lvl w:ilvl="0" w:tentative="0">
      <w:start w:val="1"/>
      <w:numFmt w:val="decimal"/>
      <w:lvlText w:val="%1."/>
      <w:lvlJc w:val="left"/>
      <w:pPr>
        <w:ind w:left="425" w:hanging="425"/>
      </w:pPr>
      <w:rPr>
        <w:rFonts w:hint="default"/>
      </w:rPr>
    </w:lvl>
  </w:abstractNum>
  <w:abstractNum w:abstractNumId="3">
    <w:nsid w:val="A2860B76"/>
    <w:multiLevelType w:val="singleLevel"/>
    <w:tmpl w:val="A2860B76"/>
    <w:lvl w:ilvl="0" w:tentative="0">
      <w:start w:val="1"/>
      <w:numFmt w:val="decimal"/>
      <w:lvlText w:val="%1."/>
      <w:lvlJc w:val="left"/>
      <w:pPr>
        <w:ind w:left="425" w:hanging="425"/>
      </w:pPr>
      <w:rPr>
        <w:rFonts w:hint="default"/>
      </w:rPr>
    </w:lvl>
  </w:abstractNum>
  <w:abstractNum w:abstractNumId="4">
    <w:nsid w:val="B26BAA9B"/>
    <w:multiLevelType w:val="singleLevel"/>
    <w:tmpl w:val="B26BAA9B"/>
    <w:lvl w:ilvl="0" w:tentative="0">
      <w:start w:val="1"/>
      <w:numFmt w:val="decimal"/>
      <w:lvlText w:val="%1."/>
      <w:lvlJc w:val="left"/>
      <w:pPr>
        <w:ind w:left="425" w:hanging="425"/>
      </w:pPr>
      <w:rPr>
        <w:rFonts w:hint="default"/>
      </w:rPr>
    </w:lvl>
  </w:abstractNum>
  <w:abstractNum w:abstractNumId="5">
    <w:nsid w:val="B409A1A4"/>
    <w:multiLevelType w:val="singleLevel"/>
    <w:tmpl w:val="B409A1A4"/>
    <w:lvl w:ilvl="0" w:tentative="0">
      <w:start w:val="1"/>
      <w:numFmt w:val="decimal"/>
      <w:lvlText w:val="%1."/>
      <w:lvlJc w:val="left"/>
      <w:pPr>
        <w:ind w:left="425" w:hanging="425"/>
      </w:pPr>
      <w:rPr>
        <w:rFonts w:hint="default"/>
      </w:rPr>
    </w:lvl>
  </w:abstractNum>
  <w:abstractNum w:abstractNumId="6">
    <w:nsid w:val="B9186C6D"/>
    <w:multiLevelType w:val="singleLevel"/>
    <w:tmpl w:val="B9186C6D"/>
    <w:lvl w:ilvl="0" w:tentative="0">
      <w:start w:val="1"/>
      <w:numFmt w:val="decimal"/>
      <w:lvlText w:val="%1."/>
      <w:lvlJc w:val="left"/>
      <w:pPr>
        <w:ind w:left="425" w:hanging="425"/>
      </w:pPr>
      <w:rPr>
        <w:rFonts w:hint="default"/>
      </w:rPr>
    </w:lvl>
  </w:abstractNum>
  <w:abstractNum w:abstractNumId="7">
    <w:nsid w:val="B9BDC338"/>
    <w:multiLevelType w:val="singleLevel"/>
    <w:tmpl w:val="B9BDC338"/>
    <w:lvl w:ilvl="0" w:tentative="0">
      <w:start w:val="1"/>
      <w:numFmt w:val="decimal"/>
      <w:lvlText w:val="%1."/>
      <w:lvlJc w:val="left"/>
      <w:pPr>
        <w:ind w:left="425" w:hanging="425"/>
      </w:pPr>
      <w:rPr>
        <w:rFonts w:hint="default"/>
        <w:b w:val="0"/>
        <w:bCs w:val="0"/>
      </w:rPr>
    </w:lvl>
  </w:abstractNum>
  <w:abstractNum w:abstractNumId="8">
    <w:nsid w:val="BB94C0A0"/>
    <w:multiLevelType w:val="singleLevel"/>
    <w:tmpl w:val="BB94C0A0"/>
    <w:lvl w:ilvl="0" w:tentative="0">
      <w:start w:val="1"/>
      <w:numFmt w:val="decimal"/>
      <w:lvlText w:val="%1."/>
      <w:lvlJc w:val="left"/>
      <w:pPr>
        <w:ind w:left="425" w:hanging="425"/>
      </w:pPr>
      <w:rPr>
        <w:rFonts w:hint="default"/>
      </w:rPr>
    </w:lvl>
  </w:abstractNum>
  <w:abstractNum w:abstractNumId="9">
    <w:nsid w:val="C872281C"/>
    <w:multiLevelType w:val="singleLevel"/>
    <w:tmpl w:val="C872281C"/>
    <w:lvl w:ilvl="0" w:tentative="0">
      <w:start w:val="1"/>
      <w:numFmt w:val="decimal"/>
      <w:lvlText w:val="%1."/>
      <w:lvlJc w:val="left"/>
      <w:pPr>
        <w:ind w:left="425" w:hanging="425"/>
      </w:pPr>
      <w:rPr>
        <w:rFonts w:hint="default"/>
      </w:rPr>
    </w:lvl>
  </w:abstractNum>
  <w:abstractNum w:abstractNumId="10">
    <w:nsid w:val="CF773417"/>
    <w:multiLevelType w:val="singleLevel"/>
    <w:tmpl w:val="CF773417"/>
    <w:lvl w:ilvl="0" w:tentative="0">
      <w:start w:val="1"/>
      <w:numFmt w:val="decimal"/>
      <w:lvlText w:val="%1."/>
      <w:lvlJc w:val="left"/>
      <w:pPr>
        <w:ind w:left="425" w:hanging="425"/>
      </w:pPr>
      <w:rPr>
        <w:rFonts w:hint="default"/>
      </w:rPr>
    </w:lvl>
  </w:abstractNum>
  <w:abstractNum w:abstractNumId="11">
    <w:nsid w:val="DE7EC5FD"/>
    <w:multiLevelType w:val="singleLevel"/>
    <w:tmpl w:val="DE7EC5FD"/>
    <w:lvl w:ilvl="0" w:tentative="0">
      <w:start w:val="1"/>
      <w:numFmt w:val="decimal"/>
      <w:lvlText w:val="%1."/>
      <w:lvlJc w:val="left"/>
      <w:pPr>
        <w:ind w:left="425" w:hanging="425"/>
      </w:pPr>
      <w:rPr>
        <w:rFonts w:hint="default"/>
      </w:rPr>
    </w:lvl>
  </w:abstractNum>
  <w:abstractNum w:abstractNumId="12">
    <w:nsid w:val="F2864E43"/>
    <w:multiLevelType w:val="singleLevel"/>
    <w:tmpl w:val="F2864E43"/>
    <w:lvl w:ilvl="0" w:tentative="0">
      <w:start w:val="1"/>
      <w:numFmt w:val="decimal"/>
      <w:lvlText w:val="%1."/>
      <w:lvlJc w:val="left"/>
      <w:pPr>
        <w:ind w:left="425" w:hanging="425"/>
      </w:pPr>
      <w:rPr>
        <w:rFonts w:hint="default"/>
      </w:rPr>
    </w:lvl>
  </w:abstractNum>
  <w:abstractNum w:abstractNumId="13">
    <w:nsid w:val="F5E963CB"/>
    <w:multiLevelType w:val="multilevel"/>
    <w:tmpl w:val="F5E963CB"/>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4">
    <w:nsid w:val="F7E4F3E7"/>
    <w:multiLevelType w:val="singleLevel"/>
    <w:tmpl w:val="F7E4F3E7"/>
    <w:lvl w:ilvl="0" w:tentative="0">
      <w:start w:val="1"/>
      <w:numFmt w:val="decimal"/>
      <w:lvlText w:val="%1."/>
      <w:lvlJc w:val="left"/>
      <w:pPr>
        <w:ind w:left="425" w:hanging="425"/>
      </w:pPr>
      <w:rPr>
        <w:rFonts w:hint="default"/>
      </w:rPr>
    </w:lvl>
  </w:abstractNum>
  <w:abstractNum w:abstractNumId="15">
    <w:nsid w:val="FC76D69D"/>
    <w:multiLevelType w:val="singleLevel"/>
    <w:tmpl w:val="FC76D69D"/>
    <w:lvl w:ilvl="0" w:tentative="0">
      <w:start w:val="1"/>
      <w:numFmt w:val="decimal"/>
      <w:lvlText w:val="%1."/>
      <w:lvlJc w:val="left"/>
      <w:pPr>
        <w:ind w:left="425" w:hanging="425"/>
      </w:pPr>
      <w:rPr>
        <w:rFonts w:hint="default"/>
      </w:rPr>
    </w:lvl>
  </w:abstractNum>
  <w:abstractNum w:abstractNumId="16">
    <w:nsid w:val="00000044"/>
    <w:multiLevelType w:val="multilevel"/>
    <w:tmpl w:val="00000044"/>
    <w:lvl w:ilvl="0" w:tentative="0">
      <w:start w:val="1"/>
      <w:numFmt w:val="decimal"/>
      <w:lvlText w:val="1.1.1.%1"/>
      <w:lvlJc w:val="left"/>
      <w:pPr>
        <w:ind w:left="420" w:hanging="420"/>
      </w:pPr>
      <w:rPr>
        <w:rFonts w:hint="eastAsia"/>
      </w:rPr>
    </w:lvl>
    <w:lvl w:ilvl="1" w:tentative="0">
      <w:start w:val="1"/>
      <w:numFmt w:val="decimal"/>
      <w:lvlText w:val="%2."/>
      <w:lvlJc w:val="left"/>
      <w:pPr>
        <w:tabs>
          <w:tab w:val="left" w:pos="720"/>
        </w:tabs>
        <w:ind w:left="0" w:firstLine="0"/>
      </w:pPr>
      <w:rPr>
        <w:rFonts w:ascii="宋体" w:hAnsi="宋体" w:eastAsia="宋体"/>
        <w:b/>
        <w:bCs w:val="0"/>
        <w:i w:val="0"/>
        <w:iCs w:val="0"/>
        <w:caps w:val="0"/>
        <w:smallCaps w:val="0"/>
        <w:strike w:val="0"/>
        <w:dstrike w:val="0"/>
        <w:color w:val="000000"/>
        <w:spacing w:val="0"/>
        <w:position w:val="0"/>
        <w:sz w:val="28"/>
        <w:szCs w:val="28"/>
        <w:u w:val="none"/>
      </w:rPr>
    </w:lvl>
    <w:lvl w:ilvl="2" w:tentative="0">
      <w:start w:val="1"/>
      <w:numFmt w:val="decimal"/>
      <w:pStyle w:val="5"/>
      <w:lvlText w:val="%2.%3"/>
      <w:lvlJc w:val="left"/>
      <w:pPr>
        <w:tabs>
          <w:tab w:val="left" w:pos="1014"/>
        </w:tabs>
        <w:ind w:left="294" w:firstLine="0"/>
      </w:pPr>
      <w:rPr>
        <w:b/>
        <w:bCs w:val="0"/>
        <w:i w:val="0"/>
        <w:iCs w:val="0"/>
        <w:caps w:val="0"/>
        <w:smallCaps w:val="0"/>
        <w:strike w:val="0"/>
        <w:dstrike w:val="0"/>
        <w:spacing w:val="0"/>
        <w:position w:val="0"/>
        <w:u w:val="none"/>
        <w:lang w:eastAsia="zh-CN"/>
      </w:rPr>
    </w:lvl>
    <w:lvl w:ilvl="3" w:tentative="0">
      <w:start w:val="1"/>
      <w:numFmt w:val="decimal"/>
      <w:lvlText w:val="%2.%3.%4"/>
      <w:lvlJc w:val="left"/>
      <w:pPr>
        <w:tabs>
          <w:tab w:val="left" w:pos="2924"/>
        </w:tabs>
        <w:ind w:left="567" w:firstLine="0"/>
      </w:pPr>
      <w:rPr>
        <w:rFonts w:hint="default" w:ascii="宋体" w:hAnsi="宋体" w:eastAsia="宋体" w:cs="Times New Roman"/>
        <w:b/>
        <w:bCs w:val="0"/>
        <w:i w:val="0"/>
        <w:iCs w:val="0"/>
        <w:caps w:val="0"/>
        <w:smallCaps w:val="0"/>
        <w:strike w:val="0"/>
        <w:dstrike w:val="0"/>
        <w:color w:val="000000"/>
        <w:spacing w:val="0"/>
        <w:position w:val="0"/>
        <w:u w:val="none"/>
      </w:rPr>
    </w:lvl>
    <w:lvl w:ilvl="4" w:tentative="0">
      <w:start w:val="1"/>
      <w:numFmt w:val="decimal"/>
      <w:pStyle w:val="7"/>
      <w:lvlText w:val="%2.%3.%4.%5"/>
      <w:lvlJc w:val="left"/>
      <w:pPr>
        <w:tabs>
          <w:tab w:val="left" w:pos="2291"/>
        </w:tabs>
        <w:ind w:left="851" w:firstLine="0"/>
      </w:pPr>
      <w:rPr>
        <w:rFonts w:hint="default" w:ascii="宋体" w:hAnsi="宋体" w:eastAsia="宋体" w:cs="Times New Roman"/>
        <w:b w:val="0"/>
        <w:bCs w:val="0"/>
        <w:i w:val="0"/>
        <w:iCs w:val="0"/>
        <w:caps w:val="0"/>
        <w:smallCaps w:val="0"/>
        <w:strike w:val="0"/>
        <w:dstrike w:val="0"/>
        <w:color w:val="000000"/>
        <w:spacing w:val="0"/>
        <w:position w:val="0"/>
        <w:u w:val="none"/>
      </w:rPr>
    </w:lvl>
    <w:lvl w:ilvl="5" w:tentative="0">
      <w:start w:val="1"/>
      <w:numFmt w:val="decimal"/>
      <w:suff w:val="nothing"/>
      <w:lvlText w:val="%2.%3.%4.%5.%6"/>
      <w:lvlJc w:val="left"/>
      <w:pPr>
        <w:ind w:left="142" w:firstLine="0"/>
      </w:pPr>
      <w:rPr>
        <w:b w:val="0"/>
        <w:bCs w:val="0"/>
        <w:i w:val="0"/>
        <w:iCs w:val="0"/>
        <w:caps w:val="0"/>
        <w:smallCaps w:val="0"/>
        <w:strike w:val="0"/>
        <w:dstrike w:val="0"/>
        <w:color w:val="000000"/>
        <w:spacing w:val="0"/>
        <w:position w:val="0"/>
        <w:u w:val="none"/>
      </w:rPr>
    </w:lvl>
    <w:lvl w:ilvl="6" w:tentative="0">
      <w:start w:val="1"/>
      <w:numFmt w:val="decimal"/>
      <w:suff w:val="nothing"/>
      <w:lvlText w:val="%2.%3.%4.%5.%6.%7"/>
      <w:lvlJc w:val="left"/>
      <w:pPr>
        <w:ind w:left="294" w:firstLine="0"/>
      </w:pPr>
      <w:rPr>
        <w:rFonts w:hint="eastAsia"/>
      </w:rPr>
    </w:lvl>
    <w:lvl w:ilvl="7" w:tentative="0">
      <w:start w:val="1"/>
      <w:numFmt w:val="none"/>
      <w:suff w:val="nothing"/>
      <w:lvlText w:val=""/>
      <w:lvlJc w:val="left"/>
      <w:pPr>
        <w:ind w:left="294" w:firstLine="0"/>
      </w:pPr>
      <w:rPr>
        <w:rFonts w:hint="eastAsia"/>
      </w:rPr>
    </w:lvl>
    <w:lvl w:ilvl="8" w:tentative="0">
      <w:start w:val="1"/>
      <w:numFmt w:val="none"/>
      <w:suff w:val="nothing"/>
      <w:lvlText w:val=""/>
      <w:lvlJc w:val="left"/>
      <w:pPr>
        <w:ind w:left="294" w:firstLine="0"/>
      </w:pPr>
      <w:rPr>
        <w:rFonts w:hint="eastAsia"/>
      </w:rPr>
    </w:lvl>
  </w:abstractNum>
  <w:abstractNum w:abstractNumId="17">
    <w:nsid w:val="070BBCE7"/>
    <w:multiLevelType w:val="singleLevel"/>
    <w:tmpl w:val="070BBCE7"/>
    <w:lvl w:ilvl="0" w:tentative="0">
      <w:start w:val="1"/>
      <w:numFmt w:val="decimal"/>
      <w:lvlText w:val="%1."/>
      <w:lvlJc w:val="left"/>
      <w:pPr>
        <w:ind w:left="425" w:hanging="425"/>
      </w:pPr>
      <w:rPr>
        <w:rFonts w:hint="default"/>
      </w:rPr>
    </w:lvl>
  </w:abstractNum>
  <w:abstractNum w:abstractNumId="18">
    <w:nsid w:val="09BF40E2"/>
    <w:multiLevelType w:val="singleLevel"/>
    <w:tmpl w:val="09BF40E2"/>
    <w:lvl w:ilvl="0" w:tentative="0">
      <w:start w:val="1"/>
      <w:numFmt w:val="decimal"/>
      <w:lvlText w:val="%1."/>
      <w:lvlJc w:val="left"/>
      <w:pPr>
        <w:ind w:left="425" w:hanging="425"/>
      </w:pPr>
      <w:rPr>
        <w:rFonts w:hint="default"/>
        <w:b w:val="0"/>
        <w:bCs w:val="0"/>
      </w:rPr>
    </w:lvl>
  </w:abstractNum>
  <w:abstractNum w:abstractNumId="19">
    <w:nsid w:val="12C4DB5D"/>
    <w:multiLevelType w:val="singleLevel"/>
    <w:tmpl w:val="12C4DB5D"/>
    <w:lvl w:ilvl="0" w:tentative="0">
      <w:start w:val="1"/>
      <w:numFmt w:val="decimal"/>
      <w:lvlText w:val="%1."/>
      <w:lvlJc w:val="left"/>
      <w:pPr>
        <w:ind w:left="425" w:hanging="425"/>
      </w:pPr>
      <w:rPr>
        <w:rFonts w:hint="default"/>
      </w:rPr>
    </w:lvl>
  </w:abstractNum>
  <w:abstractNum w:abstractNumId="20">
    <w:nsid w:val="16DD4522"/>
    <w:multiLevelType w:val="singleLevel"/>
    <w:tmpl w:val="16DD4522"/>
    <w:lvl w:ilvl="0" w:tentative="0">
      <w:start w:val="1"/>
      <w:numFmt w:val="decimal"/>
      <w:lvlText w:val="%1."/>
      <w:lvlJc w:val="left"/>
      <w:pPr>
        <w:ind w:left="425" w:hanging="425"/>
      </w:pPr>
      <w:rPr>
        <w:rFonts w:hint="default"/>
      </w:rPr>
    </w:lvl>
  </w:abstractNum>
  <w:abstractNum w:abstractNumId="21">
    <w:nsid w:val="262AC409"/>
    <w:multiLevelType w:val="singleLevel"/>
    <w:tmpl w:val="262AC409"/>
    <w:lvl w:ilvl="0" w:tentative="0">
      <w:start w:val="4"/>
      <w:numFmt w:val="chineseCounting"/>
      <w:suff w:val="nothing"/>
      <w:lvlText w:val="%1、"/>
      <w:lvlJc w:val="left"/>
      <w:rPr>
        <w:rFonts w:hint="eastAsia"/>
      </w:rPr>
    </w:lvl>
  </w:abstractNum>
  <w:abstractNum w:abstractNumId="22">
    <w:nsid w:val="2A5B4E13"/>
    <w:multiLevelType w:val="singleLevel"/>
    <w:tmpl w:val="2A5B4E13"/>
    <w:lvl w:ilvl="0" w:tentative="0">
      <w:start w:val="1"/>
      <w:numFmt w:val="decimal"/>
      <w:lvlText w:val="%1."/>
      <w:lvlJc w:val="left"/>
      <w:pPr>
        <w:ind w:left="425" w:hanging="425"/>
      </w:pPr>
      <w:rPr>
        <w:rFonts w:hint="default"/>
      </w:rPr>
    </w:lvl>
  </w:abstractNum>
  <w:abstractNum w:abstractNumId="23">
    <w:nsid w:val="2E4A527B"/>
    <w:multiLevelType w:val="singleLevel"/>
    <w:tmpl w:val="2E4A527B"/>
    <w:lvl w:ilvl="0" w:tentative="0">
      <w:start w:val="1"/>
      <w:numFmt w:val="decimal"/>
      <w:lvlText w:val="%1."/>
      <w:lvlJc w:val="left"/>
      <w:pPr>
        <w:ind w:left="425" w:hanging="425"/>
      </w:pPr>
      <w:rPr>
        <w:rFonts w:hint="default"/>
      </w:rPr>
    </w:lvl>
  </w:abstractNum>
  <w:abstractNum w:abstractNumId="24">
    <w:nsid w:val="384D0EA7"/>
    <w:multiLevelType w:val="multilevel"/>
    <w:tmpl w:val="384D0EA7"/>
    <w:lvl w:ilvl="0" w:tentative="0">
      <w:start w:val="1"/>
      <w:numFmt w:val="decimal"/>
      <w:lvlText w:val="%1."/>
      <w:lvlJc w:val="left"/>
      <w:pPr>
        <w:ind w:left="420" w:hanging="420"/>
      </w:pPr>
    </w:lvl>
    <w:lvl w:ilvl="1" w:tentative="0">
      <w:start w:val="1"/>
      <w:numFmt w:val="decimal"/>
      <w:lvlText w:val="%2."/>
      <w:lvlJc w:val="left"/>
      <w:pPr>
        <w:ind w:left="840" w:hanging="420"/>
      </w:pPr>
      <w:rPr>
        <w:b w:val="0"/>
        <w:bCs/>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3E6EA852"/>
    <w:multiLevelType w:val="singleLevel"/>
    <w:tmpl w:val="3E6EA852"/>
    <w:lvl w:ilvl="0" w:tentative="0">
      <w:start w:val="1"/>
      <w:numFmt w:val="decimal"/>
      <w:lvlText w:val="%1."/>
      <w:lvlJc w:val="left"/>
      <w:pPr>
        <w:ind w:left="425" w:hanging="425"/>
      </w:pPr>
      <w:rPr>
        <w:rFonts w:hint="default"/>
      </w:rPr>
    </w:lvl>
  </w:abstractNum>
  <w:abstractNum w:abstractNumId="26">
    <w:nsid w:val="3F5448FA"/>
    <w:multiLevelType w:val="multilevel"/>
    <w:tmpl w:val="3F5448FA"/>
    <w:lvl w:ilvl="0" w:tentative="0">
      <w:start w:val="1"/>
      <w:numFmt w:val="decimal"/>
      <w:pStyle w:val="3"/>
      <w:lvlText w:val="%1"/>
      <w:lvlJc w:val="left"/>
      <w:pPr>
        <w:ind w:left="425" w:hanging="425"/>
      </w:pPr>
      <w:rPr>
        <w:rFonts w:hint="eastAsia"/>
      </w:rPr>
    </w:lvl>
    <w:lvl w:ilvl="1" w:tentative="0">
      <w:start w:val="1"/>
      <w:numFmt w:val="decimal"/>
      <w:pStyle w:val="4"/>
      <w:isLgl/>
      <w:lvlText w:val="%1.%2"/>
      <w:lvlJc w:val="left"/>
      <w:pPr>
        <w:ind w:left="992" w:hanging="567"/>
      </w:pPr>
      <w:rPr>
        <w:rFonts w:hint="eastAsia" w:eastAsia="微软雅黑"/>
        <w:b/>
        <w:i w:val="0"/>
        <w:sz w:val="24"/>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7">
    <w:nsid w:val="59322E50"/>
    <w:multiLevelType w:val="multilevel"/>
    <w:tmpl w:val="59322E50"/>
    <w:lvl w:ilvl="0" w:tentative="0">
      <w:start w:val="1"/>
      <w:numFmt w:val="decimal"/>
      <w:lvlText w:val="%1."/>
      <w:lvlJc w:val="left"/>
      <w:pPr>
        <w:ind w:left="704" w:hanging="420"/>
      </w:p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abstractNum w:abstractNumId="28">
    <w:nsid w:val="62F86C7D"/>
    <w:multiLevelType w:val="singleLevel"/>
    <w:tmpl w:val="62F86C7D"/>
    <w:lvl w:ilvl="0" w:tentative="0">
      <w:start w:val="1"/>
      <w:numFmt w:val="decimal"/>
      <w:lvlText w:val="%1."/>
      <w:lvlJc w:val="left"/>
      <w:pPr>
        <w:ind w:left="425" w:hanging="425"/>
      </w:pPr>
      <w:rPr>
        <w:rFonts w:hint="default"/>
      </w:rPr>
    </w:lvl>
  </w:abstractNum>
  <w:abstractNum w:abstractNumId="29">
    <w:nsid w:val="654E3DFA"/>
    <w:multiLevelType w:val="singleLevel"/>
    <w:tmpl w:val="654E3DFA"/>
    <w:lvl w:ilvl="0" w:tentative="0">
      <w:start w:val="1"/>
      <w:numFmt w:val="decimal"/>
      <w:lvlText w:val="%1."/>
      <w:lvlJc w:val="left"/>
      <w:pPr>
        <w:ind w:left="425" w:hanging="425"/>
      </w:pPr>
      <w:rPr>
        <w:rFonts w:hint="default"/>
      </w:rPr>
    </w:lvl>
  </w:abstractNum>
  <w:abstractNum w:abstractNumId="30">
    <w:nsid w:val="74235164"/>
    <w:multiLevelType w:val="singleLevel"/>
    <w:tmpl w:val="74235164"/>
    <w:lvl w:ilvl="0" w:tentative="0">
      <w:start w:val="1"/>
      <w:numFmt w:val="decimal"/>
      <w:lvlText w:val="%1."/>
      <w:lvlJc w:val="left"/>
      <w:pPr>
        <w:ind w:left="425" w:hanging="425"/>
      </w:pPr>
      <w:rPr>
        <w:rFonts w:hint="default"/>
      </w:rPr>
    </w:lvl>
  </w:abstractNum>
  <w:num w:numId="1">
    <w:abstractNumId w:val="26"/>
  </w:num>
  <w:num w:numId="2">
    <w:abstractNumId w:val="16"/>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29"/>
  </w:num>
  <w:num w:numId="6">
    <w:abstractNumId w:val="15"/>
  </w:num>
  <w:num w:numId="7">
    <w:abstractNumId w:val="30"/>
  </w:num>
  <w:num w:numId="8">
    <w:abstractNumId w:val="17"/>
  </w:num>
  <w:num w:numId="9">
    <w:abstractNumId w:val="22"/>
  </w:num>
  <w:num w:numId="10">
    <w:abstractNumId w:val="7"/>
  </w:num>
  <w:num w:numId="11">
    <w:abstractNumId w:val="2"/>
  </w:num>
  <w:num w:numId="12">
    <w:abstractNumId w:val="10"/>
  </w:num>
  <w:num w:numId="13">
    <w:abstractNumId w:val="28"/>
  </w:num>
  <w:num w:numId="14">
    <w:abstractNumId w:val="12"/>
  </w:num>
  <w:num w:numId="15">
    <w:abstractNumId w:val="5"/>
  </w:num>
  <w:num w:numId="16">
    <w:abstractNumId w:val="13"/>
  </w:num>
  <w:num w:numId="17">
    <w:abstractNumId w:val="4"/>
  </w:num>
  <w:num w:numId="18">
    <w:abstractNumId w:val="3"/>
  </w:num>
  <w:num w:numId="19">
    <w:abstractNumId w:val="23"/>
  </w:num>
  <w:num w:numId="20">
    <w:abstractNumId w:val="9"/>
  </w:num>
  <w:num w:numId="21">
    <w:abstractNumId w:val="8"/>
  </w:num>
  <w:num w:numId="22">
    <w:abstractNumId w:val="14"/>
  </w:num>
  <w:num w:numId="23">
    <w:abstractNumId w:val="1"/>
  </w:num>
  <w:num w:numId="24">
    <w:abstractNumId w:val="19"/>
  </w:num>
  <w:num w:numId="25">
    <w:abstractNumId w:val="0"/>
  </w:num>
  <w:num w:numId="26">
    <w:abstractNumId w:val="25"/>
  </w:num>
  <w:num w:numId="27">
    <w:abstractNumId w:val="20"/>
  </w:num>
  <w:num w:numId="28">
    <w:abstractNumId w:val="6"/>
  </w:num>
  <w:num w:numId="29">
    <w:abstractNumId w:val="11"/>
  </w:num>
  <w:num w:numId="30">
    <w:abstractNumId w:val="18"/>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jYThlMTcwODdiNzM2YWNlYWM3NTgxNGIyNWFhOWYifQ=="/>
  </w:docVars>
  <w:rsids>
    <w:rsidRoot w:val="70DE5FBE"/>
    <w:rsid w:val="000515D7"/>
    <w:rsid w:val="00073CA6"/>
    <w:rsid w:val="00405888"/>
    <w:rsid w:val="007A0FD6"/>
    <w:rsid w:val="00B57B36"/>
    <w:rsid w:val="00D84F5C"/>
    <w:rsid w:val="01133525"/>
    <w:rsid w:val="01252DDB"/>
    <w:rsid w:val="0169558A"/>
    <w:rsid w:val="016B20C5"/>
    <w:rsid w:val="016E3386"/>
    <w:rsid w:val="01E9483F"/>
    <w:rsid w:val="021747F0"/>
    <w:rsid w:val="02777CA1"/>
    <w:rsid w:val="027F6D6C"/>
    <w:rsid w:val="02B24304"/>
    <w:rsid w:val="02CF3F30"/>
    <w:rsid w:val="032169B1"/>
    <w:rsid w:val="033866DD"/>
    <w:rsid w:val="034F11B4"/>
    <w:rsid w:val="038E660E"/>
    <w:rsid w:val="03957F6E"/>
    <w:rsid w:val="03B661CD"/>
    <w:rsid w:val="03F330B5"/>
    <w:rsid w:val="03F812DA"/>
    <w:rsid w:val="040430EB"/>
    <w:rsid w:val="04080631"/>
    <w:rsid w:val="040C6EFD"/>
    <w:rsid w:val="04177243"/>
    <w:rsid w:val="043B0E09"/>
    <w:rsid w:val="04480B0F"/>
    <w:rsid w:val="04523F24"/>
    <w:rsid w:val="0457222B"/>
    <w:rsid w:val="045B44B4"/>
    <w:rsid w:val="04655283"/>
    <w:rsid w:val="04A455C6"/>
    <w:rsid w:val="04C3736C"/>
    <w:rsid w:val="04C8279F"/>
    <w:rsid w:val="04F15CAC"/>
    <w:rsid w:val="05277080"/>
    <w:rsid w:val="05282598"/>
    <w:rsid w:val="053C6A06"/>
    <w:rsid w:val="05554783"/>
    <w:rsid w:val="058A6904"/>
    <w:rsid w:val="059228FE"/>
    <w:rsid w:val="05E60149"/>
    <w:rsid w:val="060F1E64"/>
    <w:rsid w:val="06182F00"/>
    <w:rsid w:val="06273735"/>
    <w:rsid w:val="06614EC8"/>
    <w:rsid w:val="06DD7E53"/>
    <w:rsid w:val="07087596"/>
    <w:rsid w:val="074D6796"/>
    <w:rsid w:val="07D956F0"/>
    <w:rsid w:val="07E73F67"/>
    <w:rsid w:val="08385709"/>
    <w:rsid w:val="0846296C"/>
    <w:rsid w:val="0860304A"/>
    <w:rsid w:val="087F2C82"/>
    <w:rsid w:val="0890063D"/>
    <w:rsid w:val="089E0931"/>
    <w:rsid w:val="08ED0636"/>
    <w:rsid w:val="08ED7D7D"/>
    <w:rsid w:val="08EF3612"/>
    <w:rsid w:val="091805FA"/>
    <w:rsid w:val="091C771F"/>
    <w:rsid w:val="092936BF"/>
    <w:rsid w:val="092E279E"/>
    <w:rsid w:val="09547673"/>
    <w:rsid w:val="0959181F"/>
    <w:rsid w:val="09780B14"/>
    <w:rsid w:val="09DF53CC"/>
    <w:rsid w:val="0A8B702B"/>
    <w:rsid w:val="0A8D3A0A"/>
    <w:rsid w:val="0AD331F1"/>
    <w:rsid w:val="0AE5406E"/>
    <w:rsid w:val="0AF16E3E"/>
    <w:rsid w:val="0AF82260"/>
    <w:rsid w:val="0AFB6AF0"/>
    <w:rsid w:val="0B0651DB"/>
    <w:rsid w:val="0B0C5AC8"/>
    <w:rsid w:val="0B29668E"/>
    <w:rsid w:val="0B4C5C81"/>
    <w:rsid w:val="0BC664D9"/>
    <w:rsid w:val="0BF47852"/>
    <w:rsid w:val="0C1B1EEC"/>
    <w:rsid w:val="0C3F72D7"/>
    <w:rsid w:val="0C4F3640"/>
    <w:rsid w:val="0C792AD0"/>
    <w:rsid w:val="0CBD17D3"/>
    <w:rsid w:val="0CD331B8"/>
    <w:rsid w:val="0CDD41A8"/>
    <w:rsid w:val="0CE87AF0"/>
    <w:rsid w:val="0D3606B5"/>
    <w:rsid w:val="0D822738"/>
    <w:rsid w:val="0D8D654B"/>
    <w:rsid w:val="0D912949"/>
    <w:rsid w:val="0D98135B"/>
    <w:rsid w:val="0DA40E62"/>
    <w:rsid w:val="0DB01DAD"/>
    <w:rsid w:val="0DD344F9"/>
    <w:rsid w:val="0DFB1CA5"/>
    <w:rsid w:val="0E06275E"/>
    <w:rsid w:val="0EA31302"/>
    <w:rsid w:val="0EB068BD"/>
    <w:rsid w:val="0EB37F41"/>
    <w:rsid w:val="0EDE68F9"/>
    <w:rsid w:val="0EF91020"/>
    <w:rsid w:val="0F0435A9"/>
    <w:rsid w:val="0F0D5446"/>
    <w:rsid w:val="0F131E83"/>
    <w:rsid w:val="0F5116AE"/>
    <w:rsid w:val="0F705CE9"/>
    <w:rsid w:val="0F746C1D"/>
    <w:rsid w:val="0F9945D5"/>
    <w:rsid w:val="0FB605AA"/>
    <w:rsid w:val="0FE614E1"/>
    <w:rsid w:val="0FFE4337"/>
    <w:rsid w:val="10011076"/>
    <w:rsid w:val="10082E76"/>
    <w:rsid w:val="1019069D"/>
    <w:rsid w:val="104963C3"/>
    <w:rsid w:val="105A0C32"/>
    <w:rsid w:val="10694104"/>
    <w:rsid w:val="10762DDA"/>
    <w:rsid w:val="107C0BCB"/>
    <w:rsid w:val="10857784"/>
    <w:rsid w:val="10875798"/>
    <w:rsid w:val="11023040"/>
    <w:rsid w:val="110C3F2E"/>
    <w:rsid w:val="11963445"/>
    <w:rsid w:val="11A234B7"/>
    <w:rsid w:val="11A766DC"/>
    <w:rsid w:val="11C02B43"/>
    <w:rsid w:val="11C76994"/>
    <w:rsid w:val="120622C2"/>
    <w:rsid w:val="122D6EBE"/>
    <w:rsid w:val="125F74C8"/>
    <w:rsid w:val="126C3FD7"/>
    <w:rsid w:val="12D85778"/>
    <w:rsid w:val="12E05F13"/>
    <w:rsid w:val="12E140C6"/>
    <w:rsid w:val="12F710DC"/>
    <w:rsid w:val="133E69E1"/>
    <w:rsid w:val="134F7DCC"/>
    <w:rsid w:val="13A47FB9"/>
    <w:rsid w:val="13CA6470"/>
    <w:rsid w:val="13F26651"/>
    <w:rsid w:val="13F26C17"/>
    <w:rsid w:val="13F53A43"/>
    <w:rsid w:val="1418012E"/>
    <w:rsid w:val="145D34E6"/>
    <w:rsid w:val="146D1091"/>
    <w:rsid w:val="14B34C6F"/>
    <w:rsid w:val="14D6262F"/>
    <w:rsid w:val="14F81D19"/>
    <w:rsid w:val="152D6366"/>
    <w:rsid w:val="15574161"/>
    <w:rsid w:val="15C13474"/>
    <w:rsid w:val="15E25E2A"/>
    <w:rsid w:val="15E44B4B"/>
    <w:rsid w:val="160F0AF5"/>
    <w:rsid w:val="1611500D"/>
    <w:rsid w:val="16174B7A"/>
    <w:rsid w:val="164078B5"/>
    <w:rsid w:val="16512754"/>
    <w:rsid w:val="16830CD1"/>
    <w:rsid w:val="16BD5B80"/>
    <w:rsid w:val="16CA19F5"/>
    <w:rsid w:val="16CD3E38"/>
    <w:rsid w:val="16EE20EB"/>
    <w:rsid w:val="17056039"/>
    <w:rsid w:val="17327E6F"/>
    <w:rsid w:val="17485042"/>
    <w:rsid w:val="17641213"/>
    <w:rsid w:val="178A352D"/>
    <w:rsid w:val="17A40A82"/>
    <w:rsid w:val="17CD7622"/>
    <w:rsid w:val="18240E8F"/>
    <w:rsid w:val="182A5635"/>
    <w:rsid w:val="182D04EA"/>
    <w:rsid w:val="183E1547"/>
    <w:rsid w:val="187E183C"/>
    <w:rsid w:val="187E7B5A"/>
    <w:rsid w:val="18A14AAA"/>
    <w:rsid w:val="18B0450C"/>
    <w:rsid w:val="18C526FE"/>
    <w:rsid w:val="18D86A09"/>
    <w:rsid w:val="18EE0BF6"/>
    <w:rsid w:val="193C51ED"/>
    <w:rsid w:val="194A758F"/>
    <w:rsid w:val="194D7436"/>
    <w:rsid w:val="19E20E6E"/>
    <w:rsid w:val="19E70E0E"/>
    <w:rsid w:val="1A1E64EE"/>
    <w:rsid w:val="1A2451BC"/>
    <w:rsid w:val="1A684B6E"/>
    <w:rsid w:val="1A6C2BB2"/>
    <w:rsid w:val="1A7A1AEC"/>
    <w:rsid w:val="1A7D6B66"/>
    <w:rsid w:val="1A8A7137"/>
    <w:rsid w:val="1AE64423"/>
    <w:rsid w:val="1AF92E4C"/>
    <w:rsid w:val="1B317B2B"/>
    <w:rsid w:val="1B7F5A88"/>
    <w:rsid w:val="1C000031"/>
    <w:rsid w:val="1C037171"/>
    <w:rsid w:val="1C1F41D6"/>
    <w:rsid w:val="1C2837F3"/>
    <w:rsid w:val="1C4644CD"/>
    <w:rsid w:val="1C4B148C"/>
    <w:rsid w:val="1C693427"/>
    <w:rsid w:val="1CA4563B"/>
    <w:rsid w:val="1CDB04DD"/>
    <w:rsid w:val="1D027DA6"/>
    <w:rsid w:val="1D0C2880"/>
    <w:rsid w:val="1D0E0A28"/>
    <w:rsid w:val="1D2329F4"/>
    <w:rsid w:val="1D3460A8"/>
    <w:rsid w:val="1D570D09"/>
    <w:rsid w:val="1D5F1E20"/>
    <w:rsid w:val="1D605E9A"/>
    <w:rsid w:val="1D737850"/>
    <w:rsid w:val="1DBB2E95"/>
    <w:rsid w:val="1DCC746F"/>
    <w:rsid w:val="1E0F2923"/>
    <w:rsid w:val="1E1E02E7"/>
    <w:rsid w:val="1E1F4966"/>
    <w:rsid w:val="1E8F2A30"/>
    <w:rsid w:val="1E977E3D"/>
    <w:rsid w:val="1EB45B37"/>
    <w:rsid w:val="1F02686E"/>
    <w:rsid w:val="1F0B7828"/>
    <w:rsid w:val="1F1B06D0"/>
    <w:rsid w:val="1F2B07C1"/>
    <w:rsid w:val="1F4B1474"/>
    <w:rsid w:val="1F4D053B"/>
    <w:rsid w:val="1F82325E"/>
    <w:rsid w:val="1FB66096"/>
    <w:rsid w:val="1FC942F9"/>
    <w:rsid w:val="1FD23A38"/>
    <w:rsid w:val="1FFF10FF"/>
    <w:rsid w:val="20030E5F"/>
    <w:rsid w:val="2017563B"/>
    <w:rsid w:val="201C4C28"/>
    <w:rsid w:val="20592BE1"/>
    <w:rsid w:val="20C66193"/>
    <w:rsid w:val="20C91B1B"/>
    <w:rsid w:val="20D17301"/>
    <w:rsid w:val="20ED3398"/>
    <w:rsid w:val="21125160"/>
    <w:rsid w:val="21392FBE"/>
    <w:rsid w:val="21604060"/>
    <w:rsid w:val="21671EE5"/>
    <w:rsid w:val="216F1CDA"/>
    <w:rsid w:val="21706925"/>
    <w:rsid w:val="21885F91"/>
    <w:rsid w:val="21B31E71"/>
    <w:rsid w:val="21D03C92"/>
    <w:rsid w:val="21DC7C19"/>
    <w:rsid w:val="21DE2A9F"/>
    <w:rsid w:val="21FE49B9"/>
    <w:rsid w:val="22132706"/>
    <w:rsid w:val="221633CD"/>
    <w:rsid w:val="22375E89"/>
    <w:rsid w:val="22675CE3"/>
    <w:rsid w:val="226A4FC0"/>
    <w:rsid w:val="22843C26"/>
    <w:rsid w:val="22865EB4"/>
    <w:rsid w:val="22A379E2"/>
    <w:rsid w:val="22F1436D"/>
    <w:rsid w:val="22F61C02"/>
    <w:rsid w:val="22FB7773"/>
    <w:rsid w:val="231E6FCD"/>
    <w:rsid w:val="234260DD"/>
    <w:rsid w:val="23582989"/>
    <w:rsid w:val="238B22E9"/>
    <w:rsid w:val="23D021ED"/>
    <w:rsid w:val="23FA5E73"/>
    <w:rsid w:val="23FB00B9"/>
    <w:rsid w:val="241F2D62"/>
    <w:rsid w:val="24400610"/>
    <w:rsid w:val="24C40CBB"/>
    <w:rsid w:val="25020CB4"/>
    <w:rsid w:val="25211ADD"/>
    <w:rsid w:val="25775B90"/>
    <w:rsid w:val="25874EF0"/>
    <w:rsid w:val="25E052C2"/>
    <w:rsid w:val="26157ACB"/>
    <w:rsid w:val="26456B25"/>
    <w:rsid w:val="269215EF"/>
    <w:rsid w:val="26C6692B"/>
    <w:rsid w:val="26E41937"/>
    <w:rsid w:val="272759DF"/>
    <w:rsid w:val="274B1DE7"/>
    <w:rsid w:val="274C2C9A"/>
    <w:rsid w:val="275C666C"/>
    <w:rsid w:val="276428BB"/>
    <w:rsid w:val="2781565D"/>
    <w:rsid w:val="27862E62"/>
    <w:rsid w:val="279D7D94"/>
    <w:rsid w:val="27CA6753"/>
    <w:rsid w:val="27D46BB5"/>
    <w:rsid w:val="27DF6F30"/>
    <w:rsid w:val="27FB6873"/>
    <w:rsid w:val="27FC3E54"/>
    <w:rsid w:val="281B2D6D"/>
    <w:rsid w:val="282F25E3"/>
    <w:rsid w:val="28322135"/>
    <w:rsid w:val="28382997"/>
    <w:rsid w:val="28387D27"/>
    <w:rsid w:val="283C5143"/>
    <w:rsid w:val="283F0ECA"/>
    <w:rsid w:val="28451E91"/>
    <w:rsid w:val="28641452"/>
    <w:rsid w:val="28673056"/>
    <w:rsid w:val="28767E7F"/>
    <w:rsid w:val="28965CAD"/>
    <w:rsid w:val="28A442F8"/>
    <w:rsid w:val="28AA4452"/>
    <w:rsid w:val="28DB46C8"/>
    <w:rsid w:val="28E15B8D"/>
    <w:rsid w:val="28EF1C0A"/>
    <w:rsid w:val="29187E9C"/>
    <w:rsid w:val="294C7E12"/>
    <w:rsid w:val="29604060"/>
    <w:rsid w:val="2966301D"/>
    <w:rsid w:val="29842A7C"/>
    <w:rsid w:val="29D54D95"/>
    <w:rsid w:val="29D954B6"/>
    <w:rsid w:val="29EF64B1"/>
    <w:rsid w:val="29F17728"/>
    <w:rsid w:val="2A006B81"/>
    <w:rsid w:val="2A0C6FF2"/>
    <w:rsid w:val="2A241710"/>
    <w:rsid w:val="2A2846E0"/>
    <w:rsid w:val="2A2B3C3C"/>
    <w:rsid w:val="2A3F64C9"/>
    <w:rsid w:val="2A55570C"/>
    <w:rsid w:val="2A773217"/>
    <w:rsid w:val="2A8D625F"/>
    <w:rsid w:val="2A944D06"/>
    <w:rsid w:val="2A9E41B4"/>
    <w:rsid w:val="2AA35544"/>
    <w:rsid w:val="2AA85221"/>
    <w:rsid w:val="2AC46379"/>
    <w:rsid w:val="2AE724EF"/>
    <w:rsid w:val="2B06702F"/>
    <w:rsid w:val="2B4C0565"/>
    <w:rsid w:val="2BAD7F8F"/>
    <w:rsid w:val="2C061A70"/>
    <w:rsid w:val="2C1314A7"/>
    <w:rsid w:val="2C441851"/>
    <w:rsid w:val="2C781E27"/>
    <w:rsid w:val="2CFB0A36"/>
    <w:rsid w:val="2D23171B"/>
    <w:rsid w:val="2D2D0A3B"/>
    <w:rsid w:val="2D373C3F"/>
    <w:rsid w:val="2D3C4843"/>
    <w:rsid w:val="2D764A96"/>
    <w:rsid w:val="2D9A77F3"/>
    <w:rsid w:val="2DB44212"/>
    <w:rsid w:val="2DBE5EF8"/>
    <w:rsid w:val="2DE858C0"/>
    <w:rsid w:val="2E137384"/>
    <w:rsid w:val="2E275318"/>
    <w:rsid w:val="2E3535AB"/>
    <w:rsid w:val="2E623621"/>
    <w:rsid w:val="2EA4072A"/>
    <w:rsid w:val="2F0C3608"/>
    <w:rsid w:val="2F1C7B4C"/>
    <w:rsid w:val="2F54279A"/>
    <w:rsid w:val="2F727D99"/>
    <w:rsid w:val="2F7D6077"/>
    <w:rsid w:val="2F824EF1"/>
    <w:rsid w:val="2FB839D4"/>
    <w:rsid w:val="30212CAB"/>
    <w:rsid w:val="306D38DE"/>
    <w:rsid w:val="30714040"/>
    <w:rsid w:val="307A33FC"/>
    <w:rsid w:val="308E1DB8"/>
    <w:rsid w:val="30A32381"/>
    <w:rsid w:val="30B10B05"/>
    <w:rsid w:val="30C47F07"/>
    <w:rsid w:val="30DF0F7D"/>
    <w:rsid w:val="313970E9"/>
    <w:rsid w:val="31475E00"/>
    <w:rsid w:val="316572C8"/>
    <w:rsid w:val="31943137"/>
    <w:rsid w:val="319719A4"/>
    <w:rsid w:val="31DB13D9"/>
    <w:rsid w:val="31E90309"/>
    <w:rsid w:val="321C20D1"/>
    <w:rsid w:val="323533CC"/>
    <w:rsid w:val="326406B8"/>
    <w:rsid w:val="32645BCC"/>
    <w:rsid w:val="326F459B"/>
    <w:rsid w:val="32805DAB"/>
    <w:rsid w:val="32935ADE"/>
    <w:rsid w:val="32AE46C6"/>
    <w:rsid w:val="32D00649"/>
    <w:rsid w:val="32D4413C"/>
    <w:rsid w:val="32E41D2D"/>
    <w:rsid w:val="3306142B"/>
    <w:rsid w:val="330A5F56"/>
    <w:rsid w:val="33270787"/>
    <w:rsid w:val="333126B6"/>
    <w:rsid w:val="335403F2"/>
    <w:rsid w:val="335A038E"/>
    <w:rsid w:val="335B4D4D"/>
    <w:rsid w:val="336367E5"/>
    <w:rsid w:val="33716F7B"/>
    <w:rsid w:val="338036D5"/>
    <w:rsid w:val="33844202"/>
    <w:rsid w:val="33A23B6D"/>
    <w:rsid w:val="33C97816"/>
    <w:rsid w:val="341A64A8"/>
    <w:rsid w:val="3439458C"/>
    <w:rsid w:val="345F3543"/>
    <w:rsid w:val="346A2342"/>
    <w:rsid w:val="34EC597A"/>
    <w:rsid w:val="357C1BDB"/>
    <w:rsid w:val="35973BE9"/>
    <w:rsid w:val="36174A8D"/>
    <w:rsid w:val="3619785E"/>
    <w:rsid w:val="363B3BA9"/>
    <w:rsid w:val="365F5F4A"/>
    <w:rsid w:val="36793997"/>
    <w:rsid w:val="367B1B2A"/>
    <w:rsid w:val="36A42A62"/>
    <w:rsid w:val="36B80D32"/>
    <w:rsid w:val="36D614E5"/>
    <w:rsid w:val="36E76259"/>
    <w:rsid w:val="36F2307D"/>
    <w:rsid w:val="37082330"/>
    <w:rsid w:val="37117AE8"/>
    <w:rsid w:val="371261F4"/>
    <w:rsid w:val="371B2276"/>
    <w:rsid w:val="372E3495"/>
    <w:rsid w:val="37515C8C"/>
    <w:rsid w:val="377A747B"/>
    <w:rsid w:val="37804D71"/>
    <w:rsid w:val="37910161"/>
    <w:rsid w:val="37AA40E3"/>
    <w:rsid w:val="37AF46DE"/>
    <w:rsid w:val="37CD006A"/>
    <w:rsid w:val="37E717AA"/>
    <w:rsid w:val="380F3A0E"/>
    <w:rsid w:val="383876B5"/>
    <w:rsid w:val="383C6C03"/>
    <w:rsid w:val="384823C6"/>
    <w:rsid w:val="385109F7"/>
    <w:rsid w:val="38575187"/>
    <w:rsid w:val="386D10AD"/>
    <w:rsid w:val="38CA15A7"/>
    <w:rsid w:val="38CC1C3C"/>
    <w:rsid w:val="38E060C0"/>
    <w:rsid w:val="390B0AC4"/>
    <w:rsid w:val="391D14E1"/>
    <w:rsid w:val="391E17DC"/>
    <w:rsid w:val="3925482E"/>
    <w:rsid w:val="39375595"/>
    <w:rsid w:val="39383699"/>
    <w:rsid w:val="395303D1"/>
    <w:rsid w:val="39604B1E"/>
    <w:rsid w:val="39641DB2"/>
    <w:rsid w:val="39751400"/>
    <w:rsid w:val="399336E6"/>
    <w:rsid w:val="399723A8"/>
    <w:rsid w:val="39A40B21"/>
    <w:rsid w:val="39B01AB2"/>
    <w:rsid w:val="39D215E2"/>
    <w:rsid w:val="39EC0581"/>
    <w:rsid w:val="39EE4006"/>
    <w:rsid w:val="39F44F22"/>
    <w:rsid w:val="3A162C4A"/>
    <w:rsid w:val="3A3E6EB7"/>
    <w:rsid w:val="3A4856A5"/>
    <w:rsid w:val="3A521F4F"/>
    <w:rsid w:val="3A535C51"/>
    <w:rsid w:val="3AAE3F25"/>
    <w:rsid w:val="3AF91414"/>
    <w:rsid w:val="3B015D70"/>
    <w:rsid w:val="3B227B92"/>
    <w:rsid w:val="3B376E8E"/>
    <w:rsid w:val="3B930B14"/>
    <w:rsid w:val="3BBF7E64"/>
    <w:rsid w:val="3C2051DD"/>
    <w:rsid w:val="3C35270A"/>
    <w:rsid w:val="3C381157"/>
    <w:rsid w:val="3C3F01CE"/>
    <w:rsid w:val="3C402568"/>
    <w:rsid w:val="3C60758E"/>
    <w:rsid w:val="3D2E2050"/>
    <w:rsid w:val="3D341D20"/>
    <w:rsid w:val="3D43308F"/>
    <w:rsid w:val="3D695008"/>
    <w:rsid w:val="3D7F2D17"/>
    <w:rsid w:val="3D85696B"/>
    <w:rsid w:val="3D8C2251"/>
    <w:rsid w:val="3D8F23FC"/>
    <w:rsid w:val="3DA5249C"/>
    <w:rsid w:val="3DA532D8"/>
    <w:rsid w:val="3DC57B61"/>
    <w:rsid w:val="3DCB504E"/>
    <w:rsid w:val="3DDB3AD6"/>
    <w:rsid w:val="3E1D3BDB"/>
    <w:rsid w:val="3E3862DF"/>
    <w:rsid w:val="3E3922C2"/>
    <w:rsid w:val="3E486AE4"/>
    <w:rsid w:val="3E6D7D4D"/>
    <w:rsid w:val="3E841328"/>
    <w:rsid w:val="3EC70AA8"/>
    <w:rsid w:val="3F0A317A"/>
    <w:rsid w:val="3F393203"/>
    <w:rsid w:val="3F655C52"/>
    <w:rsid w:val="3F6F01A1"/>
    <w:rsid w:val="3F7649DD"/>
    <w:rsid w:val="3F7E0434"/>
    <w:rsid w:val="3F8C19C6"/>
    <w:rsid w:val="3F906D6F"/>
    <w:rsid w:val="3FA268F5"/>
    <w:rsid w:val="3FA73B7E"/>
    <w:rsid w:val="3FEB24EB"/>
    <w:rsid w:val="3FEE64F1"/>
    <w:rsid w:val="40723006"/>
    <w:rsid w:val="40854466"/>
    <w:rsid w:val="40993B62"/>
    <w:rsid w:val="40C13CCC"/>
    <w:rsid w:val="40CD3D02"/>
    <w:rsid w:val="40ED5F2F"/>
    <w:rsid w:val="40F11C73"/>
    <w:rsid w:val="40FF50E6"/>
    <w:rsid w:val="410A32B1"/>
    <w:rsid w:val="412000ED"/>
    <w:rsid w:val="414C44C7"/>
    <w:rsid w:val="41630637"/>
    <w:rsid w:val="417B2B8A"/>
    <w:rsid w:val="419A206F"/>
    <w:rsid w:val="419A7CC3"/>
    <w:rsid w:val="41B73B49"/>
    <w:rsid w:val="41DE379E"/>
    <w:rsid w:val="41E3244A"/>
    <w:rsid w:val="42172479"/>
    <w:rsid w:val="422C3C5C"/>
    <w:rsid w:val="42440BB4"/>
    <w:rsid w:val="426B4472"/>
    <w:rsid w:val="42D836BD"/>
    <w:rsid w:val="42E71696"/>
    <w:rsid w:val="433230F1"/>
    <w:rsid w:val="4348461A"/>
    <w:rsid w:val="43516679"/>
    <w:rsid w:val="435F13BB"/>
    <w:rsid w:val="437F4EFE"/>
    <w:rsid w:val="43D04F86"/>
    <w:rsid w:val="4413593C"/>
    <w:rsid w:val="44172BD1"/>
    <w:rsid w:val="44551C28"/>
    <w:rsid w:val="44586B88"/>
    <w:rsid w:val="44835A23"/>
    <w:rsid w:val="44BE0970"/>
    <w:rsid w:val="44D16318"/>
    <w:rsid w:val="44ED47AE"/>
    <w:rsid w:val="44FF1978"/>
    <w:rsid w:val="450279D1"/>
    <w:rsid w:val="450A27CF"/>
    <w:rsid w:val="451A40FF"/>
    <w:rsid w:val="451F4D31"/>
    <w:rsid w:val="452364B9"/>
    <w:rsid w:val="45601474"/>
    <w:rsid w:val="45773005"/>
    <w:rsid w:val="457E1E54"/>
    <w:rsid w:val="45DD5C4D"/>
    <w:rsid w:val="45E97AC0"/>
    <w:rsid w:val="4607138F"/>
    <w:rsid w:val="4623311D"/>
    <w:rsid w:val="462C5BD6"/>
    <w:rsid w:val="464E62BD"/>
    <w:rsid w:val="465B146B"/>
    <w:rsid w:val="46924A56"/>
    <w:rsid w:val="46947B35"/>
    <w:rsid w:val="46A95404"/>
    <w:rsid w:val="46EC2637"/>
    <w:rsid w:val="47296646"/>
    <w:rsid w:val="47351EF9"/>
    <w:rsid w:val="47B34ABD"/>
    <w:rsid w:val="47BC2570"/>
    <w:rsid w:val="47D75B70"/>
    <w:rsid w:val="47D927EF"/>
    <w:rsid w:val="47E45496"/>
    <w:rsid w:val="480006EC"/>
    <w:rsid w:val="48042791"/>
    <w:rsid w:val="480810EC"/>
    <w:rsid w:val="48511EDE"/>
    <w:rsid w:val="48590BD1"/>
    <w:rsid w:val="485F16B3"/>
    <w:rsid w:val="48903762"/>
    <w:rsid w:val="48AE6B8F"/>
    <w:rsid w:val="48C7347A"/>
    <w:rsid w:val="48CB60F9"/>
    <w:rsid w:val="48D10FCA"/>
    <w:rsid w:val="48D179DF"/>
    <w:rsid w:val="48DA1B6F"/>
    <w:rsid w:val="490A66D1"/>
    <w:rsid w:val="49225BF6"/>
    <w:rsid w:val="4934502A"/>
    <w:rsid w:val="4945429E"/>
    <w:rsid w:val="494E5BD4"/>
    <w:rsid w:val="49AB5828"/>
    <w:rsid w:val="49D83238"/>
    <w:rsid w:val="49E81642"/>
    <w:rsid w:val="4A080F81"/>
    <w:rsid w:val="4A115988"/>
    <w:rsid w:val="4A23362D"/>
    <w:rsid w:val="4A543DB4"/>
    <w:rsid w:val="4A81377E"/>
    <w:rsid w:val="4A8B7EB4"/>
    <w:rsid w:val="4A8D5AF4"/>
    <w:rsid w:val="4A903C66"/>
    <w:rsid w:val="4A955EEB"/>
    <w:rsid w:val="4A9D6548"/>
    <w:rsid w:val="4A9F45FE"/>
    <w:rsid w:val="4AB04423"/>
    <w:rsid w:val="4AB96E12"/>
    <w:rsid w:val="4AE977CA"/>
    <w:rsid w:val="4B1F10F1"/>
    <w:rsid w:val="4B4874DD"/>
    <w:rsid w:val="4B7D594A"/>
    <w:rsid w:val="4BA521AC"/>
    <w:rsid w:val="4BC465DD"/>
    <w:rsid w:val="4BE14332"/>
    <w:rsid w:val="4BF64C40"/>
    <w:rsid w:val="4BF93EEF"/>
    <w:rsid w:val="4C247C86"/>
    <w:rsid w:val="4C3F5EFC"/>
    <w:rsid w:val="4C475E5A"/>
    <w:rsid w:val="4C914D92"/>
    <w:rsid w:val="4C987C3A"/>
    <w:rsid w:val="4CC56314"/>
    <w:rsid w:val="4CEB052A"/>
    <w:rsid w:val="4CF06F77"/>
    <w:rsid w:val="4CF73337"/>
    <w:rsid w:val="4D63664B"/>
    <w:rsid w:val="4D8F4D6C"/>
    <w:rsid w:val="4DD50FAD"/>
    <w:rsid w:val="4DD96CF3"/>
    <w:rsid w:val="4E2F702F"/>
    <w:rsid w:val="4E3E4DA8"/>
    <w:rsid w:val="4E94449A"/>
    <w:rsid w:val="4EAA1A30"/>
    <w:rsid w:val="4EB92322"/>
    <w:rsid w:val="4EC353D3"/>
    <w:rsid w:val="4F2210FE"/>
    <w:rsid w:val="4F2F1806"/>
    <w:rsid w:val="4F3C7DDE"/>
    <w:rsid w:val="4F5547C0"/>
    <w:rsid w:val="4FB56C64"/>
    <w:rsid w:val="4FB6474D"/>
    <w:rsid w:val="4FB919A4"/>
    <w:rsid w:val="4FB95D1D"/>
    <w:rsid w:val="50205A52"/>
    <w:rsid w:val="50211405"/>
    <w:rsid w:val="502913D8"/>
    <w:rsid w:val="50493C97"/>
    <w:rsid w:val="504C4731"/>
    <w:rsid w:val="506E285C"/>
    <w:rsid w:val="50FF7E8C"/>
    <w:rsid w:val="51045D9B"/>
    <w:rsid w:val="512C3C09"/>
    <w:rsid w:val="514B6A02"/>
    <w:rsid w:val="518B37FF"/>
    <w:rsid w:val="518D1A71"/>
    <w:rsid w:val="51C504A9"/>
    <w:rsid w:val="51D4352C"/>
    <w:rsid w:val="51E80D70"/>
    <w:rsid w:val="51F56008"/>
    <w:rsid w:val="520A22F7"/>
    <w:rsid w:val="52507970"/>
    <w:rsid w:val="5294746E"/>
    <w:rsid w:val="529B69FD"/>
    <w:rsid w:val="52A41123"/>
    <w:rsid w:val="52B17417"/>
    <w:rsid w:val="52B51631"/>
    <w:rsid w:val="52E823F7"/>
    <w:rsid w:val="52FC2276"/>
    <w:rsid w:val="53330A95"/>
    <w:rsid w:val="535A6308"/>
    <w:rsid w:val="53792400"/>
    <w:rsid w:val="539A5A80"/>
    <w:rsid w:val="53C071B2"/>
    <w:rsid w:val="53C55208"/>
    <w:rsid w:val="53D2058F"/>
    <w:rsid w:val="540767BB"/>
    <w:rsid w:val="54370568"/>
    <w:rsid w:val="547C0137"/>
    <w:rsid w:val="549E4893"/>
    <w:rsid w:val="54BE2D49"/>
    <w:rsid w:val="54C5397E"/>
    <w:rsid w:val="54D21738"/>
    <w:rsid w:val="54FA573B"/>
    <w:rsid w:val="55032C8E"/>
    <w:rsid w:val="554B2640"/>
    <w:rsid w:val="559F5609"/>
    <w:rsid w:val="55D87E3A"/>
    <w:rsid w:val="55DF6075"/>
    <w:rsid w:val="55F03611"/>
    <w:rsid w:val="56221101"/>
    <w:rsid w:val="56415485"/>
    <w:rsid w:val="56BA71BA"/>
    <w:rsid w:val="56CF00B0"/>
    <w:rsid w:val="56DE24D1"/>
    <w:rsid w:val="56FA762A"/>
    <w:rsid w:val="570C3604"/>
    <w:rsid w:val="575B6229"/>
    <w:rsid w:val="57816951"/>
    <w:rsid w:val="57843CB1"/>
    <w:rsid w:val="57905DB9"/>
    <w:rsid w:val="57982888"/>
    <w:rsid w:val="579B66AA"/>
    <w:rsid w:val="57A97D65"/>
    <w:rsid w:val="57B60A18"/>
    <w:rsid w:val="57D21373"/>
    <w:rsid w:val="58213A79"/>
    <w:rsid w:val="583D1D79"/>
    <w:rsid w:val="58650CF6"/>
    <w:rsid w:val="58B124DF"/>
    <w:rsid w:val="58B93DB3"/>
    <w:rsid w:val="58BA5AC7"/>
    <w:rsid w:val="58CD5BE5"/>
    <w:rsid w:val="58CF0F65"/>
    <w:rsid w:val="58D01FAD"/>
    <w:rsid w:val="59202A43"/>
    <w:rsid w:val="5941447A"/>
    <w:rsid w:val="5949786A"/>
    <w:rsid w:val="594F691E"/>
    <w:rsid w:val="59510A83"/>
    <w:rsid w:val="595531BA"/>
    <w:rsid w:val="59D16021"/>
    <w:rsid w:val="59FD00B1"/>
    <w:rsid w:val="5A1B5F35"/>
    <w:rsid w:val="5A2023C1"/>
    <w:rsid w:val="5A2E6111"/>
    <w:rsid w:val="5A320459"/>
    <w:rsid w:val="5A6B2CE6"/>
    <w:rsid w:val="5A71376D"/>
    <w:rsid w:val="5A824562"/>
    <w:rsid w:val="5A9735EB"/>
    <w:rsid w:val="5ABE4E0D"/>
    <w:rsid w:val="5B337DCA"/>
    <w:rsid w:val="5B387346"/>
    <w:rsid w:val="5B3971E9"/>
    <w:rsid w:val="5B985839"/>
    <w:rsid w:val="5BBB2FA0"/>
    <w:rsid w:val="5BCA784F"/>
    <w:rsid w:val="5BE10404"/>
    <w:rsid w:val="5C0B776E"/>
    <w:rsid w:val="5C0C5C12"/>
    <w:rsid w:val="5C362CAE"/>
    <w:rsid w:val="5CD50488"/>
    <w:rsid w:val="5CD841ED"/>
    <w:rsid w:val="5D1A6634"/>
    <w:rsid w:val="5D4B0E42"/>
    <w:rsid w:val="5D651457"/>
    <w:rsid w:val="5D724260"/>
    <w:rsid w:val="5D81304D"/>
    <w:rsid w:val="5DA12117"/>
    <w:rsid w:val="5DA311AC"/>
    <w:rsid w:val="5DB354B9"/>
    <w:rsid w:val="5DB41279"/>
    <w:rsid w:val="5DBC1ADE"/>
    <w:rsid w:val="5DCB199A"/>
    <w:rsid w:val="5DFC4B6E"/>
    <w:rsid w:val="5E291F6E"/>
    <w:rsid w:val="5E3C4973"/>
    <w:rsid w:val="5E461D75"/>
    <w:rsid w:val="5E4D1C45"/>
    <w:rsid w:val="5E653D0F"/>
    <w:rsid w:val="5EAB0112"/>
    <w:rsid w:val="5EAB7246"/>
    <w:rsid w:val="5EBA644B"/>
    <w:rsid w:val="5EBF3A24"/>
    <w:rsid w:val="5ED93E0D"/>
    <w:rsid w:val="5F9D692E"/>
    <w:rsid w:val="5FA05EC8"/>
    <w:rsid w:val="5FFF2404"/>
    <w:rsid w:val="60123D99"/>
    <w:rsid w:val="60443571"/>
    <w:rsid w:val="6060660E"/>
    <w:rsid w:val="607C6380"/>
    <w:rsid w:val="60873132"/>
    <w:rsid w:val="60897103"/>
    <w:rsid w:val="60A15C98"/>
    <w:rsid w:val="60E73D51"/>
    <w:rsid w:val="61010E58"/>
    <w:rsid w:val="610C5688"/>
    <w:rsid w:val="610F55B0"/>
    <w:rsid w:val="6116575D"/>
    <w:rsid w:val="613F18D8"/>
    <w:rsid w:val="61621147"/>
    <w:rsid w:val="61776318"/>
    <w:rsid w:val="61913795"/>
    <w:rsid w:val="61C34F89"/>
    <w:rsid w:val="61CF2728"/>
    <w:rsid w:val="622368A5"/>
    <w:rsid w:val="6236054E"/>
    <w:rsid w:val="62801CDE"/>
    <w:rsid w:val="629B1A17"/>
    <w:rsid w:val="634A3AF8"/>
    <w:rsid w:val="63AC2D96"/>
    <w:rsid w:val="63DB72ED"/>
    <w:rsid w:val="642C2F41"/>
    <w:rsid w:val="64433D7C"/>
    <w:rsid w:val="64521AAD"/>
    <w:rsid w:val="64735173"/>
    <w:rsid w:val="64CA4241"/>
    <w:rsid w:val="65604B2E"/>
    <w:rsid w:val="6577344F"/>
    <w:rsid w:val="65BE38BE"/>
    <w:rsid w:val="65CC6636"/>
    <w:rsid w:val="65CD5292"/>
    <w:rsid w:val="65E90E56"/>
    <w:rsid w:val="6618540E"/>
    <w:rsid w:val="66227899"/>
    <w:rsid w:val="66376B27"/>
    <w:rsid w:val="66546D55"/>
    <w:rsid w:val="66D97A4A"/>
    <w:rsid w:val="66F312A4"/>
    <w:rsid w:val="66FF0E88"/>
    <w:rsid w:val="66FF17BF"/>
    <w:rsid w:val="674B385B"/>
    <w:rsid w:val="67627BBF"/>
    <w:rsid w:val="683F67FA"/>
    <w:rsid w:val="68572758"/>
    <w:rsid w:val="68616DD0"/>
    <w:rsid w:val="687B4BF8"/>
    <w:rsid w:val="688E33B0"/>
    <w:rsid w:val="68BA215E"/>
    <w:rsid w:val="68CC6518"/>
    <w:rsid w:val="68EC3F55"/>
    <w:rsid w:val="69074555"/>
    <w:rsid w:val="690B04B9"/>
    <w:rsid w:val="696F6695"/>
    <w:rsid w:val="6972190C"/>
    <w:rsid w:val="69A60FD2"/>
    <w:rsid w:val="69A97B64"/>
    <w:rsid w:val="69C900B5"/>
    <w:rsid w:val="69CA792B"/>
    <w:rsid w:val="6A2555D5"/>
    <w:rsid w:val="6A265492"/>
    <w:rsid w:val="6A500310"/>
    <w:rsid w:val="6A894958"/>
    <w:rsid w:val="6A9763AD"/>
    <w:rsid w:val="6A9E5934"/>
    <w:rsid w:val="6AD04848"/>
    <w:rsid w:val="6B1732C2"/>
    <w:rsid w:val="6B45613A"/>
    <w:rsid w:val="6B6D785F"/>
    <w:rsid w:val="6B6F6FD8"/>
    <w:rsid w:val="6B814EF0"/>
    <w:rsid w:val="6BC93666"/>
    <w:rsid w:val="6BD8367F"/>
    <w:rsid w:val="6C0E271F"/>
    <w:rsid w:val="6C573920"/>
    <w:rsid w:val="6CB910D1"/>
    <w:rsid w:val="6CE17F5D"/>
    <w:rsid w:val="6D017D15"/>
    <w:rsid w:val="6D064FAB"/>
    <w:rsid w:val="6D0A2906"/>
    <w:rsid w:val="6D0F36B0"/>
    <w:rsid w:val="6D16355A"/>
    <w:rsid w:val="6D224F8F"/>
    <w:rsid w:val="6D8832A0"/>
    <w:rsid w:val="6D9D7A3B"/>
    <w:rsid w:val="6DAD1EE3"/>
    <w:rsid w:val="6DF87AF7"/>
    <w:rsid w:val="6E221570"/>
    <w:rsid w:val="6E322463"/>
    <w:rsid w:val="6E327440"/>
    <w:rsid w:val="6E6F0CAD"/>
    <w:rsid w:val="6EED505A"/>
    <w:rsid w:val="6F14284D"/>
    <w:rsid w:val="6F287019"/>
    <w:rsid w:val="6F4A4DCF"/>
    <w:rsid w:val="6F6451BC"/>
    <w:rsid w:val="6F913E5A"/>
    <w:rsid w:val="6FEC151B"/>
    <w:rsid w:val="6FFB26B8"/>
    <w:rsid w:val="70043715"/>
    <w:rsid w:val="700707AA"/>
    <w:rsid w:val="7028360F"/>
    <w:rsid w:val="702E0F7F"/>
    <w:rsid w:val="70336D62"/>
    <w:rsid w:val="7041003C"/>
    <w:rsid w:val="70742480"/>
    <w:rsid w:val="708947C9"/>
    <w:rsid w:val="70B61B38"/>
    <w:rsid w:val="70DE5FBE"/>
    <w:rsid w:val="711C69C2"/>
    <w:rsid w:val="71206969"/>
    <w:rsid w:val="71382039"/>
    <w:rsid w:val="716126E1"/>
    <w:rsid w:val="71653487"/>
    <w:rsid w:val="71C71F36"/>
    <w:rsid w:val="7209339D"/>
    <w:rsid w:val="7238434D"/>
    <w:rsid w:val="72792FAE"/>
    <w:rsid w:val="727B05E0"/>
    <w:rsid w:val="728E5C38"/>
    <w:rsid w:val="72A2036E"/>
    <w:rsid w:val="72BE0B7E"/>
    <w:rsid w:val="72EF6570"/>
    <w:rsid w:val="73063FB9"/>
    <w:rsid w:val="73324BC6"/>
    <w:rsid w:val="73335B3A"/>
    <w:rsid w:val="733748DF"/>
    <w:rsid w:val="738A322E"/>
    <w:rsid w:val="738B7338"/>
    <w:rsid w:val="73A23003"/>
    <w:rsid w:val="73BD6B2B"/>
    <w:rsid w:val="742A4587"/>
    <w:rsid w:val="743243A1"/>
    <w:rsid w:val="743B414C"/>
    <w:rsid w:val="744D4A02"/>
    <w:rsid w:val="746C1E22"/>
    <w:rsid w:val="74B12641"/>
    <w:rsid w:val="74CB42C6"/>
    <w:rsid w:val="74FD05BA"/>
    <w:rsid w:val="75095F85"/>
    <w:rsid w:val="751B7111"/>
    <w:rsid w:val="753B61C6"/>
    <w:rsid w:val="75815EBB"/>
    <w:rsid w:val="75C32EF3"/>
    <w:rsid w:val="75E554E0"/>
    <w:rsid w:val="75EC1760"/>
    <w:rsid w:val="7605630F"/>
    <w:rsid w:val="762567A9"/>
    <w:rsid w:val="762C1490"/>
    <w:rsid w:val="76312800"/>
    <w:rsid w:val="763A336F"/>
    <w:rsid w:val="764806E4"/>
    <w:rsid w:val="7649701C"/>
    <w:rsid w:val="76B344CD"/>
    <w:rsid w:val="76B61AF4"/>
    <w:rsid w:val="76C30EE4"/>
    <w:rsid w:val="76D67F05"/>
    <w:rsid w:val="76DD2C43"/>
    <w:rsid w:val="76E71A00"/>
    <w:rsid w:val="76F96FBC"/>
    <w:rsid w:val="76FB6E3D"/>
    <w:rsid w:val="77596B20"/>
    <w:rsid w:val="77691335"/>
    <w:rsid w:val="7787445A"/>
    <w:rsid w:val="778C51A0"/>
    <w:rsid w:val="77D8444A"/>
    <w:rsid w:val="78085679"/>
    <w:rsid w:val="7816121E"/>
    <w:rsid w:val="784A1D68"/>
    <w:rsid w:val="786A257B"/>
    <w:rsid w:val="78E73168"/>
    <w:rsid w:val="78E83518"/>
    <w:rsid w:val="78EC4760"/>
    <w:rsid w:val="78F53783"/>
    <w:rsid w:val="78F558EA"/>
    <w:rsid w:val="78FD1818"/>
    <w:rsid w:val="793E654E"/>
    <w:rsid w:val="797C7BB2"/>
    <w:rsid w:val="79D029DC"/>
    <w:rsid w:val="79E1243D"/>
    <w:rsid w:val="79E63E06"/>
    <w:rsid w:val="79F65CC5"/>
    <w:rsid w:val="7A36717E"/>
    <w:rsid w:val="7A5D1A50"/>
    <w:rsid w:val="7AB22440"/>
    <w:rsid w:val="7ACC771F"/>
    <w:rsid w:val="7ADA02B9"/>
    <w:rsid w:val="7AE85326"/>
    <w:rsid w:val="7AFC3535"/>
    <w:rsid w:val="7B5600CE"/>
    <w:rsid w:val="7B593E26"/>
    <w:rsid w:val="7B89756D"/>
    <w:rsid w:val="7BBB0FCF"/>
    <w:rsid w:val="7BC042A8"/>
    <w:rsid w:val="7BD45065"/>
    <w:rsid w:val="7BFE394A"/>
    <w:rsid w:val="7C052253"/>
    <w:rsid w:val="7C2072D5"/>
    <w:rsid w:val="7C30749B"/>
    <w:rsid w:val="7C377D7A"/>
    <w:rsid w:val="7C39383B"/>
    <w:rsid w:val="7C4000E9"/>
    <w:rsid w:val="7C403D6F"/>
    <w:rsid w:val="7C71489B"/>
    <w:rsid w:val="7C9B4E73"/>
    <w:rsid w:val="7CB42A60"/>
    <w:rsid w:val="7CE1176F"/>
    <w:rsid w:val="7CF264F8"/>
    <w:rsid w:val="7D2E05A9"/>
    <w:rsid w:val="7D393763"/>
    <w:rsid w:val="7D882859"/>
    <w:rsid w:val="7DB143A6"/>
    <w:rsid w:val="7DC36EE3"/>
    <w:rsid w:val="7DCF0EA1"/>
    <w:rsid w:val="7DE14A82"/>
    <w:rsid w:val="7DF574B9"/>
    <w:rsid w:val="7E4471C1"/>
    <w:rsid w:val="7E7519C5"/>
    <w:rsid w:val="7EA342CC"/>
    <w:rsid w:val="7EB11E15"/>
    <w:rsid w:val="7EC21C85"/>
    <w:rsid w:val="7ED05721"/>
    <w:rsid w:val="7EF20A1A"/>
    <w:rsid w:val="7EF8435D"/>
    <w:rsid w:val="7F1C47EC"/>
    <w:rsid w:val="7F3543C6"/>
    <w:rsid w:val="7F473249"/>
    <w:rsid w:val="7F743A1B"/>
    <w:rsid w:val="7F7A7004"/>
    <w:rsid w:val="7F996CC6"/>
    <w:rsid w:val="7F9B3AA9"/>
    <w:rsid w:val="7FD356DF"/>
    <w:rsid w:val="7FED5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keepNext/>
      <w:keepLines/>
      <w:numPr>
        <w:ilvl w:val="0"/>
        <w:numId w:val="1"/>
      </w:numPr>
      <w:outlineLvl w:val="0"/>
    </w:pPr>
    <w:rPr>
      <w:rFonts w:eastAsia="微软雅黑"/>
      <w:bCs/>
      <w:kern w:val="44"/>
      <w:szCs w:val="44"/>
    </w:rPr>
  </w:style>
  <w:style w:type="paragraph" w:styleId="4">
    <w:name w:val="heading 2"/>
    <w:basedOn w:val="1"/>
    <w:next w:val="1"/>
    <w:unhideWhenUsed/>
    <w:qFormat/>
    <w:uiPriority w:val="9"/>
    <w:pPr>
      <w:keepNext/>
      <w:keepLines/>
      <w:numPr>
        <w:ilvl w:val="1"/>
        <w:numId w:val="1"/>
      </w:numPr>
      <w:outlineLvl w:val="1"/>
    </w:pPr>
    <w:rPr>
      <w:rFonts w:eastAsia="微软雅黑" w:asciiTheme="majorHAnsi" w:hAnsiTheme="majorHAnsi" w:cstheme="majorBidi"/>
      <w:b/>
      <w:bCs/>
      <w:szCs w:val="32"/>
    </w:rPr>
  </w:style>
  <w:style w:type="paragraph" w:styleId="5">
    <w:name w:val="heading 3"/>
    <w:basedOn w:val="1"/>
    <w:next w:val="1"/>
    <w:qFormat/>
    <w:uiPriority w:val="0"/>
    <w:pPr>
      <w:numPr>
        <w:ilvl w:val="2"/>
        <w:numId w:val="2"/>
      </w:numPr>
      <w:tabs>
        <w:tab w:val="left" w:pos="630"/>
      </w:tabs>
      <w:spacing w:beforeLines="50" w:afterLines="50"/>
      <w:jc w:val="left"/>
      <w:outlineLvl w:val="2"/>
    </w:pPr>
    <w:rPr>
      <w:rFonts w:ascii="宋体" w:hAnsi="宋体"/>
      <w:b/>
      <w:bCs/>
      <w:sz w:val="24"/>
      <w:szCs w:val="24"/>
    </w:rPr>
  </w:style>
  <w:style w:type="paragraph" w:styleId="6">
    <w:name w:val="heading 4"/>
    <w:basedOn w:val="1"/>
    <w:next w:val="1"/>
    <w:qFormat/>
    <w:uiPriority w:val="0"/>
    <w:pPr>
      <w:keepNext/>
      <w:keepLines/>
      <w:spacing w:before="120" w:beforeLines="0" w:after="120" w:afterLines="0"/>
      <w:outlineLvl w:val="3"/>
    </w:pPr>
    <w:rPr>
      <w:rFonts w:ascii="Arial" w:hAnsi="Arial" w:eastAsia="黑体" w:cs="Times New Roman"/>
      <w:b/>
      <w:kern w:val="2"/>
      <w:sz w:val="28"/>
      <w:lang w:val="en-US"/>
    </w:rPr>
  </w:style>
  <w:style w:type="paragraph" w:styleId="7">
    <w:name w:val="heading 5"/>
    <w:basedOn w:val="1"/>
    <w:next w:val="1"/>
    <w:qFormat/>
    <w:uiPriority w:val="0"/>
    <w:pPr>
      <w:numPr>
        <w:ilvl w:val="4"/>
        <w:numId w:val="2"/>
      </w:numPr>
      <w:tabs>
        <w:tab w:val="left" w:pos="1260"/>
        <w:tab w:val="clear" w:pos="2291"/>
      </w:tabs>
      <w:jc w:val="left"/>
      <w:outlineLvl w:val="4"/>
    </w:pPr>
    <w:rPr>
      <w:rFonts w:eastAsia="Times New Roman"/>
      <w:bCs/>
      <w:sz w:val="24"/>
      <w:szCs w:val="28"/>
    </w:rPr>
  </w:style>
  <w:style w:type="character" w:default="1" w:styleId="17">
    <w:name w:val="Default Paragraph Font"/>
    <w:semiHidden/>
    <w:qFormat/>
    <w:uiPriority w:val="0"/>
  </w:style>
  <w:style w:type="table" w:default="1" w:styleId="1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semiHidden/>
    <w:unhideWhenUsed/>
    <w:qFormat/>
    <w:uiPriority w:val="99"/>
    <w:pPr>
      <w:spacing w:after="120"/>
    </w:pPr>
  </w:style>
  <w:style w:type="paragraph" w:styleId="8">
    <w:name w:val="Normal Indent"/>
    <w:basedOn w:val="1"/>
    <w:qFormat/>
    <w:uiPriority w:val="0"/>
    <w:pPr>
      <w:widowControl/>
      <w:ind w:firstLine="420"/>
      <w:jc w:val="left"/>
    </w:pPr>
    <w:rPr>
      <w:kern w:val="0"/>
      <w:sz w:val="20"/>
      <w:szCs w:val="20"/>
    </w:rPr>
  </w:style>
  <w:style w:type="paragraph" w:styleId="9">
    <w:name w:val="Body Text Indent"/>
    <w:basedOn w:val="1"/>
    <w:qFormat/>
    <w:uiPriority w:val="0"/>
    <w:pPr>
      <w:ind w:firstLine="422" w:firstLineChars="200"/>
    </w:pPr>
    <w:rPr>
      <w:b/>
    </w:rPr>
  </w:style>
  <w:style w:type="paragraph" w:styleId="10">
    <w:name w:val="footer"/>
    <w:basedOn w:val="1"/>
    <w:qFormat/>
    <w:uiPriority w:val="0"/>
    <w:pPr>
      <w:tabs>
        <w:tab w:val="center" w:pos="4153"/>
        <w:tab w:val="right" w:pos="8306"/>
      </w:tabs>
      <w:snapToGrid w:val="0"/>
      <w:jc w:val="left"/>
    </w:pPr>
    <w:rPr>
      <w:sz w:val="18"/>
    </w:rPr>
  </w:style>
  <w:style w:type="paragraph" w:styleId="11">
    <w:name w:val="envelope return"/>
    <w:basedOn w:val="1"/>
    <w:qFormat/>
    <w:uiPriority w:val="0"/>
    <w:pPr>
      <w:snapToGrid w:val="0"/>
      <w:spacing w:line="240" w:lineRule="atLeast"/>
    </w:pPr>
    <w:rPr>
      <w:rFonts w:ascii="Arial" w:hAnsi="Arial" w:cs="Arial"/>
      <w:szCs w:val="21"/>
    </w:rPr>
  </w:style>
  <w:style w:type="paragraph" w:styleId="12">
    <w:name w:val="Body Text First Indent 2"/>
    <w:basedOn w:val="9"/>
    <w:unhideWhenUsed/>
    <w:qFormat/>
    <w:uiPriority w:val="99"/>
    <w:pPr>
      <w:spacing w:after="120"/>
      <w:ind w:left="420" w:leftChars="200" w:firstLine="420" w:firstLineChars="200"/>
    </w:pPr>
    <w:rPr>
      <w:sz w:val="21"/>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Body Text 2"/>
    <w:basedOn w:val="1"/>
    <w:qFormat/>
    <w:uiPriority w:val="0"/>
    <w:pPr>
      <w:widowControl/>
      <w:jc w:val="center"/>
    </w:pPr>
    <w:rPr>
      <w:rFonts w:ascii="楷体_GB2312" w:hAnsi="楷体_GB2312" w:eastAsia="楷体_GB2312"/>
      <w:sz w:val="28"/>
    </w:rPr>
  </w:style>
  <w:style w:type="paragraph" w:styleId="1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6">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0">
    <w:name w:val="首行缩进"/>
    <w:basedOn w:val="21"/>
    <w:qFormat/>
    <w:uiPriority w:val="0"/>
    <w:pPr>
      <w:spacing w:line="360" w:lineRule="auto"/>
      <w:ind w:firstLine="480" w:firstLineChars="200"/>
      <w:jc w:val="left"/>
    </w:pPr>
    <w:rPr>
      <w:rFonts w:ascii="宋体" w:hAnsi="宋体"/>
      <w:sz w:val="24"/>
    </w:rPr>
  </w:style>
  <w:style w:type="paragraph" w:customStyle="1" w:styleId="21">
    <w:name w:val="正文1"/>
    <w:next w:val="20"/>
    <w:qFormat/>
    <w:uiPriority w:val="0"/>
    <w:pPr>
      <w:widowControl w:val="0"/>
      <w:suppressAutoHyphens w:val="0"/>
      <w:bidi w:val="0"/>
      <w:jc w:val="both"/>
    </w:pPr>
    <w:rPr>
      <w:rFonts w:ascii="Calibri" w:hAnsi="Calibri" w:eastAsia="宋体" w:cs="Times New Roman"/>
      <w:color w:val="auto"/>
      <w:kern w:val="2"/>
      <w:sz w:val="21"/>
      <w:szCs w:val="24"/>
      <w:lang w:val="en-US" w:eastAsia="zh-CN" w:bidi="ar-SA"/>
    </w:rPr>
  </w:style>
  <w:style w:type="paragraph" w:customStyle="1" w:styleId="22">
    <w:name w:val="p0"/>
    <w:basedOn w:val="1"/>
    <w:qFormat/>
    <w:uiPriority w:val="0"/>
    <w:pPr>
      <w:widowControl/>
    </w:pPr>
    <w:rPr>
      <w:rFonts w:ascii="宋体" w:hAnsi="宋体" w:cs="宋体"/>
      <w:kern w:val="0"/>
      <w:szCs w:val="21"/>
    </w:rPr>
  </w:style>
  <w:style w:type="table" w:customStyle="1" w:styleId="23">
    <w:name w:val="Table Normal"/>
    <w:semiHidden/>
    <w:unhideWhenUsed/>
    <w:qFormat/>
    <w:uiPriority w:val="0"/>
    <w:tblPr>
      <w:tblLayout w:type="fixed"/>
      <w:tblCellMar>
        <w:top w:w="0" w:type="dxa"/>
        <w:left w:w="0" w:type="dxa"/>
        <w:bottom w:w="0" w:type="dxa"/>
        <w:right w:w="0" w:type="dxa"/>
      </w:tblCellMar>
    </w:tblPr>
  </w:style>
  <w:style w:type="paragraph" w:customStyle="1" w:styleId="24">
    <w:name w:val="Table Text"/>
    <w:basedOn w:val="1"/>
    <w:semiHidden/>
    <w:qFormat/>
    <w:uiPriority w:val="0"/>
    <w:rPr>
      <w:rFonts w:ascii="Cambria" w:hAnsi="Cambria" w:eastAsia="Cambria" w:cs="Cambria"/>
      <w:sz w:val="28"/>
      <w:szCs w:val="28"/>
      <w:lang w:val="en-US" w:eastAsia="en-US" w:bidi="ar-SA"/>
    </w:rPr>
  </w:style>
  <w:style w:type="paragraph" w:styleId="25">
    <w:name w:val="List Paragraph"/>
    <w:basedOn w:val="1"/>
    <w:qFormat/>
    <w:uiPriority w:val="34"/>
    <w:pPr>
      <w:spacing w:line="400" w:lineRule="exact"/>
    </w:pPr>
    <w:rPr>
      <w:sz w:val="22"/>
    </w:rPr>
  </w:style>
  <w:style w:type="character" w:customStyle="1" w:styleId="26">
    <w:name w:val="NormalCharacter"/>
    <w:semiHidden/>
    <w:qFormat/>
    <w:uiPriority w:val="0"/>
    <w:rPr>
      <w:rFonts w:ascii="Calibri" w:hAnsi="Calibri" w:eastAsia="宋体" w:cs="Times New Roman"/>
      <w:color w:val="auto"/>
      <w:kern w:val="0"/>
      <w:sz w:val="21"/>
      <w:szCs w:val="24"/>
      <w:lang w:val="en-US" w:eastAsia="zh-CN" w:bidi="ar-SA"/>
    </w:rPr>
  </w:style>
  <w:style w:type="paragraph" w:customStyle="1" w:styleId="27">
    <w:name w:val="正文 A"/>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Times New Roman" w:hAnsi="Times New Roman" w:eastAsia="Arial Unicode MS" w:cs="Arial Unicode MS"/>
      <w:color w:val="000000"/>
      <w:kern w:val="2"/>
      <w:sz w:val="21"/>
      <w:szCs w:val="21"/>
      <w:u w:color="000000"/>
      <w:shd w:val="clear"/>
      <w:lang w:val="en-US" w:eastAsia="zh-CN" w:bidi="ar-SA"/>
    </w:rPr>
  </w:style>
  <w:style w:type="paragraph" w:customStyle="1" w:styleId="28">
    <w:name w:val="列出段落3"/>
    <w:basedOn w:val="1"/>
    <w:qFormat/>
    <w:uiPriority w:val="0"/>
    <w:pPr>
      <w:ind w:firstLine="420" w:firstLineChars="200"/>
    </w:pPr>
    <w:rPr>
      <w:rFonts w:ascii="Times New Roman" w:hAnsi="Times New Roman"/>
      <w:snapToGrid w:val="0"/>
      <w:szCs w:val="21"/>
    </w:rPr>
  </w:style>
  <w:style w:type="paragraph" w:customStyle="1" w:styleId="29">
    <w:name w:val="正文缩进2"/>
    <w:basedOn w:val="1"/>
    <w:qFormat/>
    <w:uiPriority w:val="0"/>
    <w:pPr>
      <w:ind w:firstLine="420" w:firstLineChars="200"/>
    </w:pPr>
    <w:rPr>
      <w:rFonts w:ascii="Times New Roman" w:hAnsi="Times New Roman"/>
    </w:rPr>
  </w:style>
  <w:style w:type="paragraph" w:customStyle="1" w:styleId="30">
    <w:name w:val="段"/>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character" w:customStyle="1" w:styleId="31">
    <w:name w:val="font21"/>
    <w:basedOn w:val="17"/>
    <w:qFormat/>
    <w:uiPriority w:val="0"/>
    <w:rPr>
      <w:rFonts w:ascii="仿宋" w:hAnsi="仿宋" w:eastAsia="仿宋" w:cs="仿宋"/>
      <w:color w:val="000000"/>
      <w:sz w:val="24"/>
      <w:szCs w:val="24"/>
      <w:u w:val="none"/>
    </w:rPr>
  </w:style>
  <w:style w:type="character" w:customStyle="1" w:styleId="32">
    <w:name w:val="font71"/>
    <w:basedOn w:val="17"/>
    <w:qFormat/>
    <w:uiPriority w:val="0"/>
    <w:rPr>
      <w:rFonts w:hint="default" w:ascii="Times New Roman" w:hAnsi="Times New Roman" w:cs="Times New Roman"/>
      <w:color w:val="000000"/>
      <w:sz w:val="24"/>
      <w:szCs w:val="24"/>
      <w:u w:val="none"/>
    </w:rPr>
  </w:style>
  <w:style w:type="character" w:customStyle="1" w:styleId="33">
    <w:name w:val="font112"/>
    <w:basedOn w:val="17"/>
    <w:qFormat/>
    <w:uiPriority w:val="0"/>
    <w:rPr>
      <w:rFonts w:hint="default" w:ascii="Times New Roman" w:hAnsi="Times New Roman" w:cs="Times New Roman"/>
      <w:color w:val="000000"/>
      <w:sz w:val="24"/>
      <w:szCs w:val="24"/>
      <w:u w:val="none"/>
    </w:rPr>
  </w:style>
  <w:style w:type="character" w:customStyle="1" w:styleId="34">
    <w:name w:val="font41"/>
    <w:basedOn w:val="17"/>
    <w:qFormat/>
    <w:uiPriority w:val="0"/>
    <w:rPr>
      <w:rFonts w:hint="eastAsia" w:ascii="方正仿宋简体" w:hAnsi="方正仿宋简体" w:eastAsia="方正仿宋简体" w:cs="方正仿宋简体"/>
      <w:color w:val="000000"/>
      <w:sz w:val="24"/>
      <w:szCs w:val="24"/>
      <w:u w:val="none"/>
    </w:rPr>
  </w:style>
  <w:style w:type="paragraph" w:customStyle="1" w:styleId="35">
    <w:name w:val="列出段落1"/>
    <w:basedOn w:val="1"/>
    <w:qFormat/>
    <w:uiPriority w:val="34"/>
    <w:pPr>
      <w:ind w:firstLine="420" w:firstLineChars="200"/>
    </w:pPr>
  </w:style>
  <w:style w:type="character" w:customStyle="1" w:styleId="36">
    <w:name w:val="font81"/>
    <w:basedOn w:val="17"/>
    <w:qFormat/>
    <w:uiPriority w:val="0"/>
    <w:rPr>
      <w:rFonts w:hint="eastAsia" w:ascii="方正仿宋简体" w:hAnsi="方正仿宋简体" w:eastAsia="方正仿宋简体" w:cs="方正仿宋简体"/>
      <w:color w:val="000000"/>
      <w:sz w:val="24"/>
      <w:szCs w:val="24"/>
      <w:u w:val="none"/>
    </w:rPr>
  </w:style>
  <w:style w:type="paragraph" w:customStyle="1" w:styleId="37">
    <w:name w:val="Default"/>
    <w:qFormat/>
    <w:uiPriority w:val="0"/>
    <w:pPr>
      <w:widowControl w:val="0"/>
      <w:autoSpaceDE w:val="0"/>
      <w:autoSpaceDN w:val="0"/>
      <w:adjustRightInd w:val="0"/>
    </w:pPr>
    <w:rPr>
      <w:rFonts w:ascii="宋体" w:hAnsi="宋体" w:cs="宋体" w:eastAsiaTheme="minorEastAsia"/>
      <w:color w:val="000000"/>
      <w:kern w:val="0"/>
      <w:sz w:val="24"/>
      <w:szCs w:val="24"/>
      <w:lang w:val="en-US" w:eastAsia="zh-CN" w:bidi="ar-SA"/>
    </w:rPr>
  </w:style>
  <w:style w:type="character" w:customStyle="1" w:styleId="38">
    <w:name w:val="font31"/>
    <w:basedOn w:val="17"/>
    <w:qFormat/>
    <w:uiPriority w:val="0"/>
    <w:rPr>
      <w:rFonts w:hint="default" w:ascii="Times New Roman" w:hAnsi="Times New Roman" w:cs="Times New Roman"/>
      <w:color w:val="000000"/>
      <w:sz w:val="24"/>
      <w:szCs w:val="24"/>
      <w:u w:val="none"/>
    </w:rPr>
  </w:style>
  <w:style w:type="character" w:customStyle="1" w:styleId="39">
    <w:name w:val="font51"/>
    <w:basedOn w:val="17"/>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b</Company>
  <Pages>16</Pages>
  <Words>10003</Words>
  <Characters>11195</Characters>
  <Lines>0</Lines>
  <Paragraphs>0</Paragraphs>
  <TotalTime>5</TotalTime>
  <ScaleCrop>false</ScaleCrop>
  <LinksUpToDate>false</LinksUpToDate>
  <CharactersWithSpaces>13109</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2024-03-18T05:22:00Z</dcterms:created>
  <dc:creator>史定金</dc:creator>
  <cp:lastModifiedBy>史定金</cp:lastModifiedBy>
  <dcterms:modified xsi:type="dcterms:W3CDTF">2026-06-24T07:25:02Z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161354DFA1574A2697DAF21DEB03AC85_13</vt:lpwstr>
  </property>
  <property fmtid="{D5CDD505-2E9C-101B-9397-08002B2CF9AE}" pid="4" name="KSOTemplateDocerSaveRecord">
    <vt:lpwstr>eyJoZGlkIjoiN2ZjMWY2MThjOTFmNThkOGRlMzVhMDQ0YTBkYjFjYzciLCJ1c2VySWQiOiI3MzYyODE3ODcifQ==</vt:lpwstr>
  </property>
</Properties>
</file>